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36FA" w14:textId="4B297D39" w:rsidR="00333AC0" w:rsidRPr="00E308F0" w:rsidRDefault="00333AC0" w:rsidP="00011A05">
      <w:pPr>
        <w:rPr>
          <w:color w:val="FF0000"/>
        </w:rPr>
      </w:pPr>
      <w:r w:rsidRPr="00E308F0">
        <w:rPr>
          <w:noProof/>
          <w:color w:val="FF0000"/>
          <w:lang w:eastAsia="en-GB" w:bidi="ar-SA"/>
        </w:rPr>
        <w:drawing>
          <wp:inline distT="0" distB="0" distL="0" distR="0" wp14:anchorId="20643F16" wp14:editId="11B5CFB9">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206436FB" w14:textId="77777777" w:rsidR="00333AC0" w:rsidRPr="00E308F0" w:rsidRDefault="00333AC0" w:rsidP="00011A05">
      <w:pPr>
        <w:rPr>
          <w:color w:val="FF0000"/>
        </w:rPr>
      </w:pPr>
    </w:p>
    <w:p w14:paraId="206436FC" w14:textId="03068A1B" w:rsidR="00333AC0" w:rsidRPr="008C6474" w:rsidRDefault="008C6474" w:rsidP="00011A05">
      <w:pPr>
        <w:rPr>
          <w:b/>
          <w:sz w:val="28"/>
          <w:szCs w:val="28"/>
        </w:rPr>
      </w:pPr>
      <w:r w:rsidRPr="008C6474">
        <w:rPr>
          <w:b/>
          <w:sz w:val="28"/>
          <w:szCs w:val="28"/>
        </w:rPr>
        <w:t>20 December  2017</w:t>
      </w:r>
    </w:p>
    <w:p w14:paraId="206436FD" w14:textId="04A389ED" w:rsidR="00333AC0" w:rsidRPr="008C6474" w:rsidRDefault="008C6474" w:rsidP="00011A05">
      <w:pPr>
        <w:rPr>
          <w:b/>
          <w:sz w:val="28"/>
          <w:szCs w:val="28"/>
        </w:rPr>
      </w:pPr>
      <w:r w:rsidRPr="008C6474">
        <w:rPr>
          <w:b/>
          <w:sz w:val="28"/>
          <w:szCs w:val="28"/>
        </w:rPr>
        <w:t>[35-17</w:t>
      </w:r>
      <w:r w:rsidR="00333AC0" w:rsidRPr="008C6474">
        <w:rPr>
          <w:b/>
          <w:sz w:val="28"/>
          <w:szCs w:val="28"/>
        </w:rPr>
        <w:t>]</w:t>
      </w:r>
    </w:p>
    <w:p w14:paraId="206436FE" w14:textId="77777777" w:rsidR="00333AC0" w:rsidRPr="00E308F0" w:rsidRDefault="00333AC0" w:rsidP="00011A05">
      <w:pPr>
        <w:rPr>
          <w:color w:val="FF0000"/>
        </w:rPr>
      </w:pPr>
      <w:bookmarkStart w:id="0" w:name="_GoBack"/>
      <w:bookmarkEnd w:id="0"/>
    </w:p>
    <w:p w14:paraId="206436FF" w14:textId="32B02D2E" w:rsidR="00333AC0" w:rsidRPr="00C022D7" w:rsidRDefault="00333AC0" w:rsidP="00011A05">
      <w:pPr>
        <w:pStyle w:val="FSTitle"/>
        <w:rPr>
          <w:b/>
          <w:color w:val="000000" w:themeColor="text1"/>
        </w:rPr>
      </w:pPr>
      <w:r w:rsidRPr="00C022D7">
        <w:rPr>
          <w:b/>
          <w:color w:val="000000" w:themeColor="text1"/>
        </w:rPr>
        <w:t>Supporting document 1</w:t>
      </w:r>
      <w:r w:rsidR="00916BC6">
        <w:rPr>
          <w:b/>
          <w:color w:val="000000" w:themeColor="text1"/>
        </w:rPr>
        <w:t xml:space="preserve"> </w:t>
      </w:r>
    </w:p>
    <w:p w14:paraId="20643700" w14:textId="77777777" w:rsidR="00333AC0" w:rsidRPr="00C022D7" w:rsidRDefault="00333AC0" w:rsidP="00011A05">
      <w:pPr>
        <w:rPr>
          <w:color w:val="000000" w:themeColor="text1"/>
        </w:rPr>
      </w:pPr>
    </w:p>
    <w:p w14:paraId="20643701" w14:textId="2123BDD1" w:rsidR="00333AC0" w:rsidRPr="00C022D7" w:rsidRDefault="00333AC0" w:rsidP="00011A05">
      <w:pPr>
        <w:pStyle w:val="FSTitle"/>
        <w:rPr>
          <w:color w:val="000000" w:themeColor="text1"/>
        </w:rPr>
      </w:pPr>
      <w:r w:rsidRPr="00C022D7">
        <w:rPr>
          <w:color w:val="000000" w:themeColor="text1"/>
        </w:rPr>
        <w:t xml:space="preserve">Safety Assessment Report </w:t>
      </w:r>
      <w:r w:rsidR="00916BC6">
        <w:rPr>
          <w:color w:val="000000" w:themeColor="text1"/>
        </w:rPr>
        <w:t xml:space="preserve">(at Approval) </w:t>
      </w:r>
      <w:r w:rsidRPr="00C022D7">
        <w:rPr>
          <w:color w:val="000000" w:themeColor="text1"/>
        </w:rPr>
        <w:t>– Application A1138</w:t>
      </w:r>
    </w:p>
    <w:p w14:paraId="20643702" w14:textId="77777777" w:rsidR="00333AC0" w:rsidRPr="00C022D7" w:rsidRDefault="00333AC0" w:rsidP="00011A05">
      <w:pPr>
        <w:rPr>
          <w:color w:val="000000" w:themeColor="text1"/>
        </w:rPr>
      </w:pPr>
    </w:p>
    <w:p w14:paraId="20643703" w14:textId="77777777" w:rsidR="00333AC0" w:rsidRPr="00C022D7" w:rsidRDefault="00333AC0" w:rsidP="00011A05">
      <w:pPr>
        <w:pStyle w:val="FSTitle"/>
        <w:rPr>
          <w:color w:val="000000" w:themeColor="text1"/>
        </w:rPr>
      </w:pPr>
      <w:r w:rsidRPr="00C022D7">
        <w:rPr>
          <w:color w:val="000000" w:themeColor="text1"/>
        </w:rPr>
        <w:t xml:space="preserve">Food derived from </w:t>
      </w:r>
      <w:r>
        <w:rPr>
          <w:color w:val="000000" w:themeColor="text1"/>
        </w:rPr>
        <w:t>Provitamin A</w:t>
      </w:r>
      <w:r w:rsidRPr="00C022D7">
        <w:rPr>
          <w:color w:val="000000" w:themeColor="text1"/>
        </w:rPr>
        <w:t xml:space="preserve"> Rice Line GR2E</w:t>
      </w:r>
    </w:p>
    <w:p w14:paraId="20643704" w14:textId="77777777" w:rsidR="00333AC0" w:rsidRPr="00C022D7" w:rsidRDefault="00333AC0" w:rsidP="00011A05">
      <w:pPr>
        <w:pBdr>
          <w:bottom w:val="single" w:sz="12" w:space="1" w:color="auto"/>
        </w:pBdr>
        <w:spacing w:line="280" w:lineRule="exact"/>
        <w:rPr>
          <w:rFonts w:cs="Arial"/>
          <w:bCs/>
          <w:color w:val="000000" w:themeColor="text1"/>
        </w:rPr>
      </w:pPr>
    </w:p>
    <w:p w14:paraId="20643705" w14:textId="77777777" w:rsidR="00333AC0" w:rsidRPr="00C022D7" w:rsidRDefault="00333AC0" w:rsidP="00011A05">
      <w:pPr>
        <w:rPr>
          <w:color w:val="000000" w:themeColor="text1"/>
        </w:rPr>
      </w:pPr>
    </w:p>
    <w:p w14:paraId="20643706" w14:textId="77777777" w:rsidR="00333AC0" w:rsidRPr="00C022D7" w:rsidRDefault="00333AC0" w:rsidP="00011A05">
      <w:pPr>
        <w:pStyle w:val="Heading1"/>
        <w:ind w:left="720" w:hanging="720"/>
        <w:jc w:val="both"/>
        <w:rPr>
          <w:color w:val="000000" w:themeColor="text1"/>
          <w:szCs w:val="36"/>
        </w:rPr>
      </w:pPr>
      <w:bookmarkStart w:id="1" w:name="_Toc470008700"/>
      <w:r w:rsidRPr="00C022D7">
        <w:rPr>
          <w:color w:val="000000" w:themeColor="text1"/>
          <w:szCs w:val="36"/>
        </w:rPr>
        <w:t>Summary and conclusions</w:t>
      </w:r>
      <w:bookmarkEnd w:id="1"/>
    </w:p>
    <w:p w14:paraId="20643707" w14:textId="77777777" w:rsidR="00333AC0" w:rsidRPr="00C022D7" w:rsidRDefault="00333AC0" w:rsidP="00011A05">
      <w:pPr>
        <w:pStyle w:val="Heading2"/>
        <w:rPr>
          <w:color w:val="000000" w:themeColor="text1"/>
        </w:rPr>
      </w:pPr>
      <w:bookmarkStart w:id="2" w:name="_Toc470008701"/>
      <w:r w:rsidRPr="00C022D7">
        <w:rPr>
          <w:color w:val="000000" w:themeColor="text1"/>
        </w:rPr>
        <w:t>Background</w:t>
      </w:r>
      <w:bookmarkEnd w:id="2"/>
    </w:p>
    <w:p w14:paraId="20643708" w14:textId="77777777" w:rsidR="00333AC0" w:rsidRPr="00265182" w:rsidRDefault="00333AC0" w:rsidP="00011A05">
      <w:pPr>
        <w:rPr>
          <w:color w:val="000000" w:themeColor="text1"/>
          <w:lang w:val="en-AU"/>
        </w:rPr>
      </w:pPr>
      <w:r w:rsidRPr="00C022D7">
        <w:rPr>
          <w:color w:val="000000" w:themeColor="text1"/>
        </w:rPr>
        <w:t xml:space="preserve">A genetically modified (GM) rice line with OECD Unique Identifier IR-00GR2E-5 (herein referred to as GR2E) has been developed by the International Rice Research Institute. This rice line has been genetically </w:t>
      </w:r>
      <w:r>
        <w:rPr>
          <w:color w:val="000000" w:themeColor="text1"/>
        </w:rPr>
        <w:t>modified to produce</w:t>
      </w:r>
      <w:r w:rsidRPr="00C022D7">
        <w:rPr>
          <w:color w:val="000000" w:themeColor="text1"/>
        </w:rPr>
        <w:t xml:space="preserve"> </w:t>
      </w:r>
      <w:r>
        <w:rPr>
          <w:color w:val="000000" w:themeColor="text1"/>
        </w:rPr>
        <w:t>beta (</w:t>
      </w:r>
      <w:r w:rsidRPr="00C022D7">
        <w:rPr>
          <w:rFonts w:cs="Arial"/>
          <w:color w:val="000000" w:themeColor="text1"/>
        </w:rPr>
        <w:t>β</w:t>
      </w:r>
      <w:r>
        <w:rPr>
          <w:rFonts w:cs="Arial"/>
          <w:color w:val="000000" w:themeColor="text1"/>
        </w:rPr>
        <w:t>)</w:t>
      </w:r>
      <w:r w:rsidRPr="00C022D7">
        <w:rPr>
          <w:color w:val="000000" w:themeColor="text1"/>
        </w:rPr>
        <w:t>-carotene</w:t>
      </w:r>
      <w:r w:rsidRPr="00C022D7">
        <w:rPr>
          <w:color w:val="000000" w:themeColor="text1"/>
          <w:lang w:val="en-AU"/>
        </w:rPr>
        <w:t xml:space="preserve"> (a form of provitamin A) in the endosperm of </w:t>
      </w:r>
      <w:r w:rsidRPr="00265182">
        <w:rPr>
          <w:color w:val="000000" w:themeColor="text1"/>
          <w:lang w:val="en-AU"/>
        </w:rPr>
        <w:t>the rice grain. This trait has been achieved through expression of a phytoene synthase protein (PSY1) encoded by a gene (</w:t>
      </w:r>
      <w:r w:rsidRPr="00265182">
        <w:rPr>
          <w:i/>
          <w:color w:val="000000" w:themeColor="text1"/>
          <w:lang w:val="en-AU"/>
        </w:rPr>
        <w:t>Zmpsy1</w:t>
      </w:r>
      <w:r w:rsidRPr="00265182">
        <w:rPr>
          <w:color w:val="000000" w:themeColor="text1"/>
          <w:lang w:val="en-AU"/>
        </w:rPr>
        <w:t xml:space="preserve">) from </w:t>
      </w:r>
      <w:r w:rsidRPr="00265182">
        <w:rPr>
          <w:i/>
          <w:color w:val="000000" w:themeColor="text1"/>
          <w:lang w:val="en-AU"/>
        </w:rPr>
        <w:t>Zea mays</w:t>
      </w:r>
      <w:r w:rsidRPr="00265182">
        <w:rPr>
          <w:color w:val="000000" w:themeColor="text1"/>
          <w:lang w:val="en-AU"/>
        </w:rPr>
        <w:t xml:space="preserve"> (corn) and a carotene desaturase protein (CRTI) encoded by a gene (</w:t>
      </w:r>
      <w:r w:rsidRPr="00265182">
        <w:rPr>
          <w:i/>
          <w:color w:val="000000" w:themeColor="text1"/>
          <w:lang w:val="en-AU"/>
        </w:rPr>
        <w:t>crtI</w:t>
      </w:r>
      <w:r w:rsidRPr="00265182">
        <w:rPr>
          <w:color w:val="000000" w:themeColor="text1"/>
          <w:lang w:val="en-AU"/>
        </w:rPr>
        <w:t xml:space="preserve">) from the bacterium </w:t>
      </w:r>
      <w:r w:rsidRPr="00265182">
        <w:rPr>
          <w:i/>
          <w:color w:val="000000" w:themeColor="text1"/>
          <w:lang w:val="en-AU"/>
        </w:rPr>
        <w:t>Pantoea ananatis</w:t>
      </w:r>
      <w:r w:rsidRPr="00265182">
        <w:rPr>
          <w:color w:val="000000" w:themeColor="text1"/>
          <w:lang w:val="en-AU"/>
        </w:rPr>
        <w:t xml:space="preserve">. These two proteins, normally </w:t>
      </w:r>
      <w:r>
        <w:rPr>
          <w:color w:val="000000" w:themeColor="text1"/>
          <w:lang w:val="en-AU"/>
        </w:rPr>
        <w:t>absent</w:t>
      </w:r>
      <w:r w:rsidRPr="00265182">
        <w:rPr>
          <w:color w:val="000000" w:themeColor="text1"/>
          <w:lang w:val="en-AU"/>
        </w:rPr>
        <w:t xml:space="preserve"> in rice endosperm, supply the necessary intermediaries to support a functional </w:t>
      </w:r>
      <w:r w:rsidRPr="00265182">
        <w:rPr>
          <w:rFonts w:cs="Arial"/>
          <w:color w:val="000000" w:themeColor="text1"/>
        </w:rPr>
        <w:t>β</w:t>
      </w:r>
      <w:r w:rsidRPr="00265182">
        <w:rPr>
          <w:color w:val="000000" w:themeColor="text1"/>
        </w:rPr>
        <w:t>-carotene biosynthetic pathway.</w:t>
      </w:r>
    </w:p>
    <w:p w14:paraId="20643709" w14:textId="77777777" w:rsidR="00333AC0" w:rsidRPr="00265182" w:rsidRDefault="00333AC0" w:rsidP="00011A05">
      <w:pPr>
        <w:autoSpaceDE w:val="0"/>
        <w:autoSpaceDN w:val="0"/>
        <w:adjustRightInd w:val="0"/>
        <w:rPr>
          <w:rFonts w:eastAsiaTheme="minorHAnsi" w:cs="Arial"/>
          <w:color w:val="000000" w:themeColor="text1"/>
          <w:szCs w:val="22"/>
        </w:rPr>
      </w:pPr>
    </w:p>
    <w:p w14:paraId="2064370A" w14:textId="6646FA71" w:rsidR="00333AC0" w:rsidRPr="00C022D7" w:rsidRDefault="00333AC0" w:rsidP="00011A05">
      <w:pPr>
        <w:autoSpaceDE w:val="0"/>
        <w:autoSpaceDN w:val="0"/>
        <w:adjustRightInd w:val="0"/>
        <w:rPr>
          <w:color w:val="000000" w:themeColor="text1"/>
          <w:szCs w:val="22"/>
          <w:lang w:val="en-US"/>
        </w:rPr>
      </w:pPr>
      <w:r w:rsidRPr="00265182">
        <w:rPr>
          <w:color w:val="000000" w:themeColor="text1"/>
          <w:lang w:val="en-US"/>
        </w:rPr>
        <w:t xml:space="preserve">GR2E also contains the bacterial </w:t>
      </w:r>
      <w:r w:rsidR="00623DF4" w:rsidRPr="00623DF4">
        <w:rPr>
          <w:color w:val="000000" w:themeColor="text1"/>
          <w:lang w:val="en-US"/>
        </w:rPr>
        <w:t>phosphomannose isomerase</w:t>
      </w:r>
      <w:r w:rsidR="00623DF4">
        <w:rPr>
          <w:color w:val="000000" w:themeColor="text1"/>
          <w:lang w:val="en-US"/>
        </w:rPr>
        <w:t xml:space="preserve"> (PMI) gene</w:t>
      </w:r>
      <w:r w:rsidRPr="00265182">
        <w:rPr>
          <w:color w:val="000000" w:themeColor="text1"/>
          <w:lang w:val="en-US"/>
        </w:rPr>
        <w:t xml:space="preserve">, which is derived from </w:t>
      </w:r>
      <w:r w:rsidRPr="00265182">
        <w:rPr>
          <w:i/>
          <w:color w:val="000000" w:themeColor="text1"/>
          <w:lang w:val="en-US"/>
        </w:rPr>
        <w:t>Escherichia coli</w:t>
      </w:r>
      <w:r w:rsidRPr="00265182">
        <w:rPr>
          <w:color w:val="000000" w:themeColor="text1"/>
          <w:lang w:val="en-US"/>
        </w:rPr>
        <w:t xml:space="preserve"> strain K-12. Expression of the PMI protein in plants allows growth on mannose as a carbon source. </w:t>
      </w:r>
      <w:r w:rsidRPr="00265182">
        <w:rPr>
          <w:color w:val="000000" w:themeColor="text1"/>
          <w:szCs w:val="22"/>
          <w:lang w:val="en-US"/>
        </w:rPr>
        <w:t>This was used as a selectable marker to assist with identification of transformed rice cells in the early stages of selection.</w:t>
      </w:r>
    </w:p>
    <w:p w14:paraId="2064370B" w14:textId="77777777" w:rsidR="00333AC0" w:rsidRPr="00C022D7" w:rsidRDefault="00333AC0" w:rsidP="00011A05">
      <w:pPr>
        <w:autoSpaceDE w:val="0"/>
        <w:autoSpaceDN w:val="0"/>
        <w:adjustRightInd w:val="0"/>
        <w:rPr>
          <w:rFonts w:eastAsiaTheme="minorHAnsi" w:cs="Arial"/>
          <w:color w:val="000000" w:themeColor="text1"/>
          <w:szCs w:val="22"/>
        </w:rPr>
      </w:pPr>
    </w:p>
    <w:p w14:paraId="2064370C" w14:textId="77777777" w:rsidR="00333AC0" w:rsidRPr="00C022D7" w:rsidRDefault="00333AC0" w:rsidP="00011A05">
      <w:pPr>
        <w:rPr>
          <w:color w:val="000000" w:themeColor="text1"/>
        </w:rPr>
      </w:pPr>
      <w:r w:rsidRPr="00C022D7">
        <w:rPr>
          <w:color w:val="000000" w:themeColor="text1"/>
        </w:rPr>
        <w:t>In conducting a safety assessment of food derived from GR2E, a number of criteria have been addressed including: a characterisation of the transferred gene sequences, their origin, func</w:t>
      </w:r>
      <w:r>
        <w:rPr>
          <w:color w:val="000000" w:themeColor="text1"/>
        </w:rPr>
        <w:t>tion and stability in the rice</w:t>
      </w:r>
      <w:r w:rsidRPr="00C022D7">
        <w:rPr>
          <w:color w:val="000000" w:themeColor="text1"/>
        </w:rPr>
        <w:t xml:space="preserve"> genome; the changes at the level of DNA and protein in the whole food; compositional analyses and evaluation of intended and unintended changes. </w:t>
      </w:r>
    </w:p>
    <w:p w14:paraId="2064370D" w14:textId="77777777" w:rsidR="00333AC0" w:rsidRPr="00C022D7" w:rsidRDefault="00333AC0" w:rsidP="00011A05">
      <w:pPr>
        <w:rPr>
          <w:color w:val="000000" w:themeColor="text1"/>
        </w:rPr>
      </w:pPr>
    </w:p>
    <w:p w14:paraId="2064370E" w14:textId="77777777" w:rsidR="00333AC0" w:rsidRPr="00C022D7" w:rsidRDefault="00333AC0" w:rsidP="00011A05">
      <w:pPr>
        <w:rPr>
          <w:color w:val="000000" w:themeColor="text1"/>
        </w:rPr>
      </w:pPr>
      <w:r w:rsidRPr="00C022D7">
        <w:rPr>
          <w:color w:val="000000" w:themeColor="text1"/>
        </w:rPr>
        <w:t xml:space="preserve">This safety assessment report addresses only food safety and nutritional issues of the GM food </w:t>
      </w:r>
      <w:r w:rsidRPr="00C022D7">
        <w:rPr>
          <w:i/>
          <w:color w:val="000000" w:themeColor="text1"/>
        </w:rPr>
        <w:t>per se</w:t>
      </w:r>
      <w:r w:rsidRPr="00C022D7">
        <w:rPr>
          <w:color w:val="000000" w:themeColor="text1"/>
        </w:rPr>
        <w:t xml:space="preserve">. It therefore does not address: </w:t>
      </w:r>
    </w:p>
    <w:p w14:paraId="2064370F" w14:textId="77777777" w:rsidR="00333AC0" w:rsidRPr="00C022D7" w:rsidRDefault="00333AC0" w:rsidP="00011A05">
      <w:pPr>
        <w:rPr>
          <w:color w:val="000000" w:themeColor="text1"/>
        </w:rPr>
      </w:pPr>
    </w:p>
    <w:p w14:paraId="20643710" w14:textId="77777777" w:rsidR="00333AC0" w:rsidRPr="00C022D7" w:rsidRDefault="00333AC0" w:rsidP="00011A05">
      <w:pPr>
        <w:pStyle w:val="FSBullet1"/>
        <w:rPr>
          <w:color w:val="000000" w:themeColor="text1"/>
        </w:rPr>
      </w:pPr>
      <w:r w:rsidRPr="00C022D7">
        <w:rPr>
          <w:color w:val="000000" w:themeColor="text1"/>
        </w:rPr>
        <w:t>environmental risks related to the environmental release of GM plants used in food production</w:t>
      </w:r>
    </w:p>
    <w:p w14:paraId="20643711" w14:textId="77777777" w:rsidR="00333AC0" w:rsidRPr="00C022D7" w:rsidRDefault="00333AC0" w:rsidP="00011A05">
      <w:pPr>
        <w:pStyle w:val="FSBullet1"/>
        <w:rPr>
          <w:color w:val="000000" w:themeColor="text1"/>
        </w:rPr>
      </w:pPr>
      <w:r w:rsidRPr="00C022D7">
        <w:rPr>
          <w:color w:val="000000" w:themeColor="text1"/>
        </w:rPr>
        <w:t>the safety of animal feed, or animals fed with feed, derived from GM plants</w:t>
      </w:r>
    </w:p>
    <w:p w14:paraId="20643712" w14:textId="77777777" w:rsidR="00333AC0" w:rsidRPr="00C022D7" w:rsidRDefault="00333AC0" w:rsidP="00011A05">
      <w:pPr>
        <w:pStyle w:val="FSBullet1"/>
        <w:rPr>
          <w:color w:val="000000" w:themeColor="text1"/>
        </w:rPr>
      </w:pPr>
      <w:r w:rsidRPr="00C022D7">
        <w:rPr>
          <w:color w:val="000000" w:themeColor="text1"/>
        </w:rPr>
        <w:t>the safety of food derived from the non-GM (conventional) plant.</w:t>
      </w:r>
    </w:p>
    <w:p w14:paraId="20643713" w14:textId="77777777" w:rsidR="00333AC0" w:rsidRPr="00C022D7" w:rsidRDefault="00333AC0" w:rsidP="00011A05">
      <w:pPr>
        <w:pStyle w:val="Heading2"/>
        <w:rPr>
          <w:color w:val="000000" w:themeColor="text1"/>
        </w:rPr>
      </w:pPr>
      <w:bookmarkStart w:id="3" w:name="_Toc470008702"/>
      <w:r w:rsidRPr="00C022D7">
        <w:rPr>
          <w:color w:val="000000" w:themeColor="text1"/>
        </w:rPr>
        <w:t>History of use</w:t>
      </w:r>
      <w:bookmarkEnd w:id="3"/>
    </w:p>
    <w:p w14:paraId="20643714" w14:textId="77777777" w:rsidR="00333AC0" w:rsidRPr="00713627" w:rsidRDefault="00333AC0" w:rsidP="00011A05">
      <w:pPr>
        <w:rPr>
          <w:rFonts w:cs="Arial"/>
          <w:color w:val="000000" w:themeColor="text1"/>
          <w:szCs w:val="22"/>
        </w:rPr>
      </w:pPr>
      <w:r w:rsidRPr="00713627">
        <w:rPr>
          <w:color w:val="000000" w:themeColor="text1"/>
        </w:rPr>
        <w:t>Rice (</w:t>
      </w:r>
      <w:r w:rsidRPr="00713627">
        <w:rPr>
          <w:i/>
          <w:color w:val="000000" w:themeColor="text1"/>
        </w:rPr>
        <w:t>Oryza</w:t>
      </w:r>
      <w:r w:rsidRPr="00713627">
        <w:rPr>
          <w:color w:val="000000" w:themeColor="text1"/>
        </w:rPr>
        <w:t xml:space="preserve"> spp.) is a significant caloric source for over half of the world’s population and the cultivated species </w:t>
      </w:r>
      <w:r w:rsidRPr="00713627">
        <w:rPr>
          <w:i/>
          <w:color w:val="000000" w:themeColor="text1"/>
        </w:rPr>
        <w:t>Oryza sativa</w:t>
      </w:r>
      <w:r w:rsidRPr="00713627">
        <w:rPr>
          <w:color w:val="000000" w:themeColor="text1"/>
        </w:rPr>
        <w:t xml:space="preserve"> is the most widely utilised, with thousands of cultivars being grown in over 100 countries. </w:t>
      </w:r>
      <w:r w:rsidRPr="00713627">
        <w:rPr>
          <w:rFonts w:cs="Arial"/>
          <w:color w:val="000000" w:themeColor="text1"/>
          <w:szCs w:val="22"/>
        </w:rPr>
        <w:t>In terms of production, paddy rice is the world’s second most dominant cereal crop behind corn.</w:t>
      </w:r>
    </w:p>
    <w:p w14:paraId="20643715" w14:textId="77777777" w:rsidR="00333AC0" w:rsidRDefault="00333AC0" w:rsidP="00011A05">
      <w:pPr>
        <w:widowControl/>
        <w:autoSpaceDE w:val="0"/>
        <w:autoSpaceDN w:val="0"/>
        <w:adjustRightInd w:val="0"/>
        <w:rPr>
          <w:rFonts w:cs="Arial"/>
          <w:color w:val="000000" w:themeColor="text1"/>
          <w:szCs w:val="22"/>
        </w:rPr>
      </w:pPr>
      <w:r w:rsidRPr="00713627">
        <w:rPr>
          <w:rFonts w:cs="Arial"/>
          <w:color w:val="000000" w:themeColor="text1"/>
          <w:szCs w:val="22"/>
        </w:rPr>
        <w:lastRenderedPageBreak/>
        <w:t>Most rice worldwide is consumed in the form of cooked rice. However, there are now a variety of rice-based value added products available, such as breakfast cereals (puffed rice), pasta, rice flakes, and rice crackers. Rice flour is used to make products such as rice noodles, egg-roll wrappers, edible rice paper and rice flour cakes/dumplings. Liquid-based rice products include rice bran oil that is used in cooking, rice-based alcoholic beverages produced after fermentation, rice vinegar, rice ‘milk’ and rice syrup. Rice starch is used as a thickening agent in food preparation. Rice by-products such as bran and straw are used in livestock feed.</w:t>
      </w:r>
    </w:p>
    <w:p w14:paraId="20643716" w14:textId="77777777" w:rsidR="00333AC0" w:rsidRPr="00713627" w:rsidRDefault="00333AC0" w:rsidP="00011A05">
      <w:pPr>
        <w:pStyle w:val="Heading2"/>
        <w:ind w:left="0" w:firstLine="0"/>
        <w:rPr>
          <w:color w:val="000000" w:themeColor="text1"/>
        </w:rPr>
      </w:pPr>
      <w:bookmarkStart w:id="4" w:name="_Toc470008703"/>
      <w:r w:rsidRPr="00713627">
        <w:rPr>
          <w:color w:val="000000" w:themeColor="text1"/>
        </w:rPr>
        <w:t>Molecular characterisation</w:t>
      </w:r>
      <w:bookmarkEnd w:id="4"/>
    </w:p>
    <w:p w14:paraId="20643717" w14:textId="77777777" w:rsidR="00333AC0" w:rsidRPr="00507536" w:rsidRDefault="00333AC0" w:rsidP="00011A05">
      <w:pPr>
        <w:pStyle w:val="BodyText"/>
        <w:rPr>
          <w:rFonts w:cs="Arial"/>
          <w:i/>
          <w:color w:val="000000" w:themeColor="text1"/>
          <w:szCs w:val="22"/>
          <w:lang w:val="en-US"/>
        </w:rPr>
      </w:pPr>
      <w:r w:rsidRPr="00713627">
        <w:rPr>
          <w:color w:val="000000" w:themeColor="text1"/>
        </w:rPr>
        <w:t xml:space="preserve">GR2E was generated through </w:t>
      </w:r>
      <w:r w:rsidRPr="00713627">
        <w:rPr>
          <w:i/>
          <w:color w:val="000000" w:themeColor="text1"/>
        </w:rPr>
        <w:t>Agrobacterium</w:t>
      </w:r>
      <w:r w:rsidRPr="00507536">
        <w:rPr>
          <w:color w:val="000000" w:themeColor="text1"/>
        </w:rPr>
        <w:t xml:space="preserve">-mediated transformation with a single T-DNA containing three expression cassettes. </w:t>
      </w:r>
      <w:r w:rsidRPr="00507536">
        <w:rPr>
          <w:rFonts w:cs="Arial"/>
          <w:color w:val="000000" w:themeColor="text1"/>
          <w:szCs w:val="22"/>
          <w:lang w:val="en-US"/>
        </w:rPr>
        <w:t xml:space="preserve">Comprehensive molecular analyses indicate there is a single insertion site </w:t>
      </w:r>
      <w:r w:rsidRPr="00507536">
        <w:rPr>
          <w:rFonts w:cs="Arial"/>
          <w:color w:val="000000" w:themeColor="text1"/>
          <w:szCs w:val="22"/>
        </w:rPr>
        <w:t xml:space="preserve">comprising a single, complete copy of each of the </w:t>
      </w:r>
      <w:r w:rsidRPr="00507536">
        <w:rPr>
          <w:i/>
          <w:color w:val="000000" w:themeColor="text1"/>
          <w:szCs w:val="22"/>
        </w:rPr>
        <w:t>Zmpsy1, SSU-crtI</w:t>
      </w:r>
      <w:r>
        <w:rPr>
          <w:color w:val="000000" w:themeColor="text1"/>
          <w:szCs w:val="22"/>
        </w:rPr>
        <w:t xml:space="preserve"> and </w:t>
      </w:r>
      <w:r w:rsidRPr="00507536">
        <w:rPr>
          <w:i/>
          <w:color w:val="000000" w:themeColor="text1"/>
          <w:szCs w:val="22"/>
        </w:rPr>
        <w:t>pmi</w:t>
      </w:r>
      <w:r w:rsidRPr="00507536">
        <w:rPr>
          <w:color w:val="000000" w:themeColor="text1"/>
          <w:szCs w:val="22"/>
        </w:rPr>
        <w:t xml:space="preserve"> genes</w:t>
      </w:r>
      <w:r w:rsidRPr="00507536">
        <w:rPr>
          <w:color w:val="000000" w:themeColor="text1"/>
        </w:rPr>
        <w:t xml:space="preserve"> with their regulatory elements</w:t>
      </w:r>
      <w:r w:rsidRPr="00507536">
        <w:rPr>
          <w:rFonts w:cs="Arial"/>
          <w:color w:val="000000" w:themeColor="text1"/>
          <w:szCs w:val="22"/>
        </w:rPr>
        <w:t xml:space="preserve">. </w:t>
      </w:r>
      <w:r w:rsidRPr="00507536">
        <w:rPr>
          <w:rFonts w:cs="Arial"/>
          <w:color w:val="000000" w:themeColor="text1"/>
          <w:szCs w:val="22"/>
          <w:lang w:val="en-US"/>
        </w:rPr>
        <w:t xml:space="preserve">The introduced genes are stably inherited from one generation to the next. </w:t>
      </w:r>
    </w:p>
    <w:p w14:paraId="20643718" w14:textId="77777777" w:rsidR="00333AC0" w:rsidRDefault="00333AC0" w:rsidP="00011A05">
      <w:pPr>
        <w:pStyle w:val="BodyText"/>
        <w:rPr>
          <w:rFonts w:cs="Arial"/>
          <w:color w:val="000000" w:themeColor="text1"/>
          <w:szCs w:val="22"/>
        </w:rPr>
      </w:pPr>
      <w:r w:rsidRPr="00507536">
        <w:rPr>
          <w:rFonts w:eastAsia="Batang" w:cs="Arial"/>
          <w:color w:val="000000" w:themeColor="text1"/>
          <w:szCs w:val="22"/>
        </w:rPr>
        <w:t xml:space="preserve">There are no antibiotic resistance marker genes present in the line and </w:t>
      </w:r>
      <w:r w:rsidRPr="00507536">
        <w:rPr>
          <w:rFonts w:cs="Arial"/>
          <w:color w:val="000000" w:themeColor="text1"/>
          <w:szCs w:val="22"/>
        </w:rPr>
        <w:t>no plasmid backbone has been incorporated into the transgenic locus.</w:t>
      </w:r>
    </w:p>
    <w:p w14:paraId="20643719" w14:textId="77777777" w:rsidR="00333AC0" w:rsidRPr="00E8304E" w:rsidRDefault="00333AC0" w:rsidP="00011A05">
      <w:pPr>
        <w:pStyle w:val="Heading2"/>
      </w:pPr>
      <w:bookmarkStart w:id="5" w:name="_Toc436665445"/>
      <w:bookmarkStart w:id="6" w:name="_Toc470008704"/>
      <w:r w:rsidRPr="00E8304E">
        <w:t>Characterisation and safety assessment of new substances</w:t>
      </w:r>
      <w:bookmarkEnd w:id="5"/>
      <w:bookmarkEnd w:id="6"/>
    </w:p>
    <w:p w14:paraId="2064371A" w14:textId="77777777" w:rsidR="00333AC0" w:rsidRPr="00E8304E" w:rsidRDefault="00333AC0" w:rsidP="00011A05">
      <w:pPr>
        <w:pStyle w:val="Heading3"/>
        <w:rPr>
          <w:i/>
        </w:rPr>
      </w:pPr>
      <w:bookmarkStart w:id="7" w:name="_Toc403992424"/>
      <w:r w:rsidRPr="00E8304E">
        <w:t>Newly expressed proteins</w:t>
      </w:r>
      <w:bookmarkEnd w:id="7"/>
    </w:p>
    <w:p w14:paraId="2064371B" w14:textId="77777777" w:rsidR="00333AC0" w:rsidRDefault="00333AC0" w:rsidP="00011A05">
      <w:pPr>
        <w:pStyle w:val="BodyText"/>
        <w:rPr>
          <w:rFonts w:cs="Arial"/>
          <w:color w:val="000000" w:themeColor="text1"/>
          <w:szCs w:val="22"/>
        </w:rPr>
      </w:pPr>
      <w:r>
        <w:rPr>
          <w:rFonts w:eastAsia="Batang" w:cs="Arial"/>
          <w:color w:val="000000" w:themeColor="text1"/>
          <w:szCs w:val="22"/>
        </w:rPr>
        <w:t>GR2E expresses three</w:t>
      </w:r>
      <w:r w:rsidRPr="00547CD3">
        <w:rPr>
          <w:rFonts w:eastAsia="Batang" w:cs="Arial"/>
          <w:color w:val="000000" w:themeColor="text1"/>
          <w:szCs w:val="22"/>
        </w:rPr>
        <w:t xml:space="preserve"> novel proteins, </w:t>
      </w:r>
      <w:r w:rsidRPr="00D876BB">
        <w:rPr>
          <w:rFonts w:eastAsia="Batang" w:cs="Arial"/>
          <w:i/>
          <w:color w:val="000000" w:themeColor="text1"/>
          <w:szCs w:val="22"/>
        </w:rPr>
        <w:t>Zm</w:t>
      </w:r>
      <w:r>
        <w:rPr>
          <w:rFonts w:eastAsia="Batang" w:cs="Arial"/>
          <w:color w:val="000000" w:themeColor="text1"/>
          <w:szCs w:val="22"/>
        </w:rPr>
        <w:t>PSY1, CRTI</w:t>
      </w:r>
      <w:r w:rsidRPr="00547CD3">
        <w:rPr>
          <w:rFonts w:eastAsia="Batang" w:cs="Arial"/>
          <w:color w:val="000000" w:themeColor="text1"/>
          <w:szCs w:val="22"/>
        </w:rPr>
        <w:t xml:space="preserve"> </w:t>
      </w:r>
      <w:r>
        <w:rPr>
          <w:rFonts w:eastAsia="Batang" w:cs="Arial"/>
          <w:color w:val="000000" w:themeColor="text1"/>
          <w:szCs w:val="22"/>
        </w:rPr>
        <w:t>and PMI</w:t>
      </w:r>
      <w:r w:rsidRPr="00547CD3">
        <w:rPr>
          <w:rFonts w:cs="Arial"/>
          <w:color w:val="000000" w:themeColor="text1"/>
          <w:szCs w:val="22"/>
        </w:rPr>
        <w:t xml:space="preserve">. </w:t>
      </w:r>
    </w:p>
    <w:p w14:paraId="2064371C"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Analyses of all three proteins in straw and various grain stages indicated that measurable but very low concentrations of both PSY1 and CRTI proteins were found in all GR2E grain developmental stages but not in GR2E stem/straw tissue. Levels of CRTI were lower than </w:t>
      </w:r>
      <w:r w:rsidRPr="001F6BA5">
        <w:rPr>
          <w:rFonts w:ascii="CharterBT-Roman" w:hAnsi="CharterBT-Roman" w:cs="CharterBT-Roman"/>
          <w:i/>
          <w:szCs w:val="22"/>
          <w:lang w:eastAsia="en-GB" w:bidi="ar-SA"/>
        </w:rPr>
        <w:t>Zm</w:t>
      </w:r>
      <w:r>
        <w:rPr>
          <w:rFonts w:ascii="CharterBT-Roman" w:hAnsi="CharterBT-Roman" w:cs="CharterBT-Roman"/>
          <w:szCs w:val="22"/>
          <w:lang w:eastAsia="en-GB" w:bidi="ar-SA"/>
        </w:rPr>
        <w:t xml:space="preserve">PSY1; both proteins had the highest mean concentration in grain at dough stage, ranging between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308–359 ng/g and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54–68 ng/g for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and CRTI, respectively. Concentrations of PMI protein were significantly higher than either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or CRTI in samples from all grain growth stages and were highest in dough-stage grain, averaging </w:t>
      </w:r>
      <w:r>
        <w:rPr>
          <w:rFonts w:ascii="CharterBT-Italic" w:hAnsi="CharterBT-Italic" w:cs="CharterBT-Italic"/>
          <w:i/>
          <w:iCs/>
          <w:szCs w:val="22"/>
          <w:lang w:eastAsia="en-GB" w:bidi="ar-SA"/>
        </w:rPr>
        <w:t>ca</w:t>
      </w:r>
      <w:r>
        <w:rPr>
          <w:rFonts w:ascii="CharterBT-Roman" w:hAnsi="CharterBT-Roman" w:cs="CharterBT-Roman"/>
          <w:szCs w:val="22"/>
          <w:lang w:eastAsia="en-GB" w:bidi="ar-SA"/>
        </w:rPr>
        <w:t>. 2015 ng/g across the locations/growing seasons tested. PMI was also present in straw.</w:t>
      </w:r>
    </w:p>
    <w:p w14:paraId="2064371D" w14:textId="77777777" w:rsidR="00333AC0" w:rsidRPr="004B77F6" w:rsidRDefault="00333AC0" w:rsidP="00011A05">
      <w:pPr>
        <w:widowControl/>
        <w:autoSpaceDE w:val="0"/>
        <w:autoSpaceDN w:val="0"/>
        <w:adjustRightInd w:val="0"/>
        <w:rPr>
          <w:rFonts w:ascii="CharterBT-Roman" w:hAnsi="CharterBT-Roman" w:cs="CharterBT-Roman"/>
          <w:szCs w:val="22"/>
          <w:lang w:eastAsia="en-GB" w:bidi="ar-SA"/>
        </w:rPr>
      </w:pPr>
    </w:p>
    <w:p w14:paraId="2064371E" w14:textId="77777777" w:rsidR="00333AC0" w:rsidRDefault="00333AC0" w:rsidP="00011A05">
      <w:pPr>
        <w:pStyle w:val="BodyText"/>
        <w:spacing w:after="0"/>
        <w:rPr>
          <w:rFonts w:cs="Arial"/>
          <w:color w:val="000000" w:themeColor="text1"/>
          <w:szCs w:val="22"/>
        </w:rPr>
      </w:pPr>
      <w:r w:rsidRPr="007F0831">
        <w:rPr>
          <w:rFonts w:cs="Arial"/>
          <w:color w:val="000000" w:themeColor="text1"/>
          <w:szCs w:val="22"/>
        </w:rPr>
        <w:t xml:space="preserve">Very low yields of the plant-produced </w:t>
      </w:r>
      <w:r w:rsidRPr="007F0831">
        <w:rPr>
          <w:rFonts w:cs="Arial"/>
          <w:i/>
          <w:color w:val="000000" w:themeColor="text1"/>
          <w:szCs w:val="22"/>
        </w:rPr>
        <w:t>Zm</w:t>
      </w:r>
      <w:r w:rsidRPr="007F0831">
        <w:rPr>
          <w:rFonts w:cs="Arial"/>
          <w:color w:val="000000" w:themeColor="text1"/>
          <w:szCs w:val="22"/>
        </w:rPr>
        <w:t xml:space="preserve">PSY1 and CRTI proteins precluded their specific characterisation. However the weight of evidence, provided by a) translation of the known DNA sequences of the three genes introduced into GR2E, b) the fact that the proteins function as predicted in the plant </w:t>
      </w:r>
      <w:r>
        <w:rPr>
          <w:rFonts w:cs="Arial"/>
          <w:color w:val="000000" w:themeColor="text1"/>
          <w:szCs w:val="22"/>
        </w:rPr>
        <w:t>c) detection by specific antibodies and d</w:t>
      </w:r>
      <w:r w:rsidRPr="007F0831">
        <w:rPr>
          <w:rFonts w:cs="Arial"/>
          <w:color w:val="000000" w:themeColor="text1"/>
          <w:szCs w:val="22"/>
        </w:rPr>
        <w:t>) the detailed characterisation of equivalent microbially-produced proteins</w:t>
      </w:r>
      <w:r>
        <w:rPr>
          <w:rFonts w:cs="Arial"/>
          <w:color w:val="000000" w:themeColor="text1"/>
          <w:szCs w:val="22"/>
        </w:rPr>
        <w:t>,</w:t>
      </w:r>
      <w:r w:rsidRPr="007F0831">
        <w:rPr>
          <w:rFonts w:cs="Arial"/>
          <w:color w:val="000000" w:themeColor="text1"/>
          <w:szCs w:val="22"/>
        </w:rPr>
        <w:t xml:space="preserve"> is sufficient to confirm the identity of the proteins expressed in GR2E.</w:t>
      </w:r>
    </w:p>
    <w:p w14:paraId="2064371F" w14:textId="77777777" w:rsidR="00333AC0" w:rsidRDefault="00333AC0" w:rsidP="00011A05">
      <w:pPr>
        <w:pStyle w:val="BodyText"/>
        <w:spacing w:after="0"/>
        <w:rPr>
          <w:rFonts w:cs="Arial"/>
          <w:color w:val="000000" w:themeColor="text1"/>
          <w:szCs w:val="22"/>
        </w:rPr>
      </w:pPr>
    </w:p>
    <w:p w14:paraId="20643720" w14:textId="77777777" w:rsidR="00333AC0" w:rsidRDefault="00333AC0" w:rsidP="00011A05">
      <w:pPr>
        <w:pStyle w:val="BodyText"/>
        <w:spacing w:after="0"/>
        <w:rPr>
          <w:rFonts w:cs="Arial"/>
          <w:color w:val="000000" w:themeColor="text1"/>
          <w:szCs w:val="22"/>
        </w:rPr>
      </w:pPr>
      <w:r>
        <w:rPr>
          <w:rFonts w:cs="Arial"/>
          <w:color w:val="000000" w:themeColor="text1"/>
          <w:szCs w:val="22"/>
        </w:rPr>
        <w:t xml:space="preserve">For the </w:t>
      </w:r>
      <w:r w:rsidRPr="004B77F6">
        <w:rPr>
          <w:rFonts w:cs="Arial"/>
          <w:i/>
          <w:color w:val="000000" w:themeColor="text1"/>
          <w:szCs w:val="22"/>
        </w:rPr>
        <w:t>Zm</w:t>
      </w:r>
      <w:r>
        <w:rPr>
          <w:rFonts w:cs="Arial"/>
          <w:color w:val="000000" w:themeColor="text1"/>
          <w:szCs w:val="22"/>
        </w:rPr>
        <w:t xml:space="preserve">PSY1 and CRTI </w:t>
      </w:r>
      <w:r w:rsidRPr="0019094B">
        <w:rPr>
          <w:rFonts w:cs="Arial"/>
          <w:color w:val="000000" w:themeColor="text1"/>
          <w:szCs w:val="22"/>
        </w:rPr>
        <w:t>proteins, bioinformatic studies confirmed the lack of any significant amino acid sequence similarity to know protein toxins or allergens; digestibility studies suggest the proteins would be rapidly degraded in the gastro-intestinal tract following ingestion; and thermolability studies indicate both proteins are functionally inactivated following heating.</w:t>
      </w:r>
    </w:p>
    <w:p w14:paraId="20643721" w14:textId="77777777" w:rsidR="00333AC0" w:rsidRDefault="00333AC0" w:rsidP="00011A05">
      <w:pPr>
        <w:pStyle w:val="BodyText"/>
        <w:spacing w:after="0"/>
        <w:rPr>
          <w:rFonts w:cs="Arial"/>
          <w:color w:val="000000" w:themeColor="text1"/>
          <w:szCs w:val="22"/>
        </w:rPr>
      </w:pPr>
    </w:p>
    <w:p w14:paraId="20643722" w14:textId="77777777" w:rsidR="00333AC0" w:rsidRDefault="00333AC0" w:rsidP="00011A05">
      <w:pPr>
        <w:rPr>
          <w:rFonts w:cs="Arial"/>
          <w:color w:val="000000" w:themeColor="text1"/>
          <w:szCs w:val="22"/>
        </w:rPr>
      </w:pPr>
      <w:r w:rsidRPr="00847D30">
        <w:rPr>
          <w:rFonts w:cs="Arial"/>
          <w:color w:val="000000" w:themeColor="text1"/>
          <w:szCs w:val="22"/>
        </w:rPr>
        <w:t xml:space="preserve">There are </w:t>
      </w:r>
      <w:r>
        <w:rPr>
          <w:rFonts w:cs="Arial"/>
          <w:color w:val="000000" w:themeColor="text1"/>
          <w:szCs w:val="22"/>
        </w:rPr>
        <w:t xml:space="preserve">also </w:t>
      </w:r>
      <w:r w:rsidRPr="00847D30">
        <w:rPr>
          <w:rFonts w:cs="Arial"/>
          <w:color w:val="000000" w:themeColor="text1"/>
          <w:szCs w:val="22"/>
        </w:rPr>
        <w:t>no concerns regarding the potential toxicity or allerge</w:t>
      </w:r>
      <w:r>
        <w:rPr>
          <w:rFonts w:cs="Arial"/>
          <w:color w:val="000000" w:themeColor="text1"/>
          <w:szCs w:val="22"/>
        </w:rPr>
        <w:t>nicity of the PMI protein</w:t>
      </w:r>
      <w:r w:rsidRPr="00847D30">
        <w:rPr>
          <w:rFonts w:cs="Arial"/>
          <w:color w:val="000000" w:themeColor="text1"/>
          <w:szCs w:val="22"/>
        </w:rPr>
        <w:t xml:space="preserve"> </w:t>
      </w:r>
      <w:r>
        <w:rPr>
          <w:rFonts w:cs="Arial"/>
          <w:color w:val="000000" w:themeColor="text1"/>
          <w:szCs w:val="22"/>
        </w:rPr>
        <w:t>which has been previously assessed as safe</w:t>
      </w:r>
      <w:r w:rsidRPr="00847D30">
        <w:rPr>
          <w:rFonts w:cs="Arial"/>
          <w:color w:val="000000" w:themeColor="text1"/>
          <w:szCs w:val="22"/>
        </w:rPr>
        <w:t xml:space="preserve"> </w:t>
      </w:r>
      <w:r>
        <w:rPr>
          <w:rFonts w:cs="Arial"/>
          <w:color w:val="000000" w:themeColor="text1"/>
          <w:szCs w:val="22"/>
        </w:rPr>
        <w:t xml:space="preserve">by </w:t>
      </w:r>
      <w:r w:rsidRPr="007F0831">
        <w:rPr>
          <w:rFonts w:cs="Arial"/>
          <w:color w:val="000000" w:themeColor="text1"/>
          <w:szCs w:val="22"/>
        </w:rPr>
        <w:t>FSANZ. Updated bioinformatics studies submitted in this application confirm the lack of any significant amino acid sequence similarity of the PMI expressed in GR2E to known protein toxins or allergens.</w:t>
      </w:r>
    </w:p>
    <w:p w14:paraId="20643723" w14:textId="77777777" w:rsidR="00333AC0" w:rsidRDefault="00333AC0" w:rsidP="00011A05">
      <w:pPr>
        <w:rPr>
          <w:rFonts w:cs="Arial"/>
          <w:color w:val="000000" w:themeColor="text1"/>
          <w:szCs w:val="22"/>
        </w:rPr>
      </w:pPr>
    </w:p>
    <w:p w14:paraId="20643724" w14:textId="77777777" w:rsidR="00333AC0" w:rsidRDefault="00333AC0" w:rsidP="00011A05">
      <w:pPr>
        <w:rPr>
          <w:rFonts w:cs="Arial"/>
          <w:color w:val="000000" w:themeColor="text1"/>
          <w:szCs w:val="22"/>
        </w:rPr>
      </w:pPr>
      <w:r>
        <w:rPr>
          <w:rFonts w:cs="Arial"/>
          <w:color w:val="000000" w:themeColor="text1"/>
          <w:szCs w:val="22"/>
        </w:rPr>
        <w:t xml:space="preserve">Taken together, the evidence indicates that </w:t>
      </w:r>
      <w:r w:rsidRPr="009A5060">
        <w:rPr>
          <w:rFonts w:cs="Arial"/>
          <w:i/>
          <w:color w:val="000000" w:themeColor="text1"/>
          <w:szCs w:val="22"/>
        </w:rPr>
        <w:t>Zm</w:t>
      </w:r>
      <w:r>
        <w:rPr>
          <w:rFonts w:cs="Arial"/>
          <w:color w:val="000000" w:themeColor="text1"/>
          <w:szCs w:val="22"/>
        </w:rPr>
        <w:t>PSY1, CRTI and PMI in the diet are unlikely to be toxic or allergenic in humans.</w:t>
      </w:r>
    </w:p>
    <w:p w14:paraId="20643725" w14:textId="77777777" w:rsidR="00333AC0" w:rsidRPr="00E92468" w:rsidRDefault="00333AC0" w:rsidP="00011A05">
      <w:pPr>
        <w:pStyle w:val="Heading2"/>
        <w:rPr>
          <w:color w:val="000000" w:themeColor="text1"/>
        </w:rPr>
      </w:pPr>
      <w:bookmarkStart w:id="8" w:name="_Toc470008705"/>
      <w:r w:rsidRPr="00E92468">
        <w:rPr>
          <w:color w:val="000000" w:themeColor="text1"/>
        </w:rPr>
        <w:lastRenderedPageBreak/>
        <w:t>Compositional analyses</w:t>
      </w:r>
      <w:bookmarkEnd w:id="8"/>
    </w:p>
    <w:p w14:paraId="20643726" w14:textId="77777777" w:rsidR="00333AC0" w:rsidRPr="00E92468" w:rsidRDefault="00333AC0" w:rsidP="00011A05">
      <w:pPr>
        <w:widowControl/>
        <w:autoSpaceDE w:val="0"/>
        <w:autoSpaceDN w:val="0"/>
        <w:adjustRightInd w:val="0"/>
        <w:rPr>
          <w:rFonts w:cs="Arial"/>
          <w:bCs/>
          <w:color w:val="000000" w:themeColor="text1"/>
          <w:szCs w:val="22"/>
        </w:rPr>
      </w:pPr>
      <w:r w:rsidRPr="00E92468">
        <w:rPr>
          <w:color w:val="000000" w:themeColor="text1"/>
        </w:rPr>
        <w:t xml:space="preserve">Detailed compositional analyses were done to establish the nutritional adequacy of grain from GR2E and to characterise any unintended compositional changes. </w:t>
      </w:r>
      <w:r w:rsidRPr="00E92468">
        <w:rPr>
          <w:rFonts w:cs="Arial"/>
          <w:color w:val="000000" w:themeColor="text1"/>
          <w:szCs w:val="22"/>
          <w:lang w:eastAsia="en-GB" w:bidi="ar-SA"/>
        </w:rPr>
        <w:t>Samples were analysed for proximates, fibre, sugars, fatty acids, amino acids, minerals, vitamins, and anti-nutrients (phytic acid and trypsin inhibitor).</w:t>
      </w:r>
      <w:r w:rsidRPr="00E92468">
        <w:rPr>
          <w:rFonts w:cs="Arial"/>
          <w:bCs/>
          <w:color w:val="000000" w:themeColor="text1"/>
          <w:szCs w:val="22"/>
        </w:rPr>
        <w:t xml:space="preserve"> In addition to these analytes the Applicant provided data and analysis on five carotenoid categories.</w:t>
      </w:r>
    </w:p>
    <w:p w14:paraId="20643727" w14:textId="77777777" w:rsidR="00333AC0" w:rsidRDefault="00333AC0" w:rsidP="00011A05">
      <w:pPr>
        <w:widowControl/>
        <w:autoSpaceDE w:val="0"/>
        <w:autoSpaceDN w:val="0"/>
        <w:adjustRightInd w:val="0"/>
        <w:rPr>
          <w:rFonts w:cs="Arial"/>
          <w:color w:val="000000" w:themeColor="text1"/>
          <w:szCs w:val="22"/>
          <w:lang w:eastAsia="en-GB" w:bidi="ar-SA"/>
        </w:rPr>
      </w:pPr>
    </w:p>
    <w:p w14:paraId="20643728" w14:textId="77777777" w:rsidR="00333AC0" w:rsidRPr="000648DE" w:rsidRDefault="00333AC0" w:rsidP="00011A05">
      <w:pPr>
        <w:rPr>
          <w:rFonts w:cs="Arial"/>
          <w:color w:val="000000" w:themeColor="text1"/>
          <w:szCs w:val="22"/>
        </w:rPr>
      </w:pPr>
      <w:r>
        <w:rPr>
          <w:rFonts w:cs="Arial"/>
          <w:color w:val="000000" w:themeColor="text1"/>
          <w:szCs w:val="22"/>
          <w:lang w:eastAsia="en-GB" w:bidi="ar-SA"/>
        </w:rPr>
        <w:t xml:space="preserve">As expected, </w:t>
      </w:r>
      <w:r>
        <w:rPr>
          <w:rFonts w:cs="Arial"/>
          <w:color w:val="000000" w:themeColor="text1"/>
          <w:szCs w:val="22"/>
        </w:rPr>
        <w:t>there are significant increases</w:t>
      </w:r>
      <w:r w:rsidRPr="00A24F37">
        <w:rPr>
          <w:rFonts w:cs="Arial"/>
          <w:color w:val="000000" w:themeColor="text1"/>
          <w:szCs w:val="22"/>
        </w:rPr>
        <w:t xml:space="preserve"> in the carotenoid component of the grain, particularly the production of β-carotene.</w:t>
      </w:r>
      <w:r>
        <w:rPr>
          <w:rFonts w:cs="Arial"/>
          <w:color w:val="000000" w:themeColor="text1"/>
          <w:szCs w:val="22"/>
        </w:rPr>
        <w:t xml:space="preserve"> </w:t>
      </w:r>
      <w:r>
        <w:rPr>
          <w:rFonts w:cs="Arial"/>
          <w:color w:val="000000"/>
          <w:szCs w:val="22"/>
        </w:rPr>
        <w:t xml:space="preserve">FSANZ has conducted a separate nutrition safety assessment to determine </w:t>
      </w:r>
      <w:r>
        <w:t>the potential risks associated with the intake of the contained carotenoids by the general population and whether this may cause any adverse health effects</w:t>
      </w:r>
      <w:r w:rsidDel="00267AF8">
        <w:rPr>
          <w:rFonts w:cs="Arial"/>
          <w:color w:val="000000"/>
          <w:szCs w:val="22"/>
        </w:rPr>
        <w:t xml:space="preserve"> </w:t>
      </w:r>
      <w:r>
        <w:rPr>
          <w:rFonts w:cs="Arial"/>
          <w:color w:val="000000"/>
          <w:szCs w:val="22"/>
        </w:rPr>
        <w:t>(</w:t>
      </w:r>
      <w:r w:rsidRPr="008D333F">
        <w:rPr>
          <w:rFonts w:cs="Arial"/>
          <w:color w:val="000000"/>
          <w:szCs w:val="22"/>
        </w:rPr>
        <w:t>see Supporting Document 2).</w:t>
      </w:r>
    </w:p>
    <w:p w14:paraId="20643729" w14:textId="77777777" w:rsidR="00333AC0" w:rsidRPr="00E92468" w:rsidRDefault="00333AC0" w:rsidP="00011A05">
      <w:pPr>
        <w:widowControl/>
        <w:autoSpaceDE w:val="0"/>
        <w:autoSpaceDN w:val="0"/>
        <w:adjustRightInd w:val="0"/>
        <w:rPr>
          <w:rFonts w:cs="Arial"/>
          <w:color w:val="000000" w:themeColor="text1"/>
          <w:szCs w:val="22"/>
          <w:lang w:eastAsia="en-GB" w:bidi="ar-SA"/>
        </w:rPr>
      </w:pPr>
    </w:p>
    <w:p w14:paraId="2064372A" w14:textId="77777777" w:rsidR="00333AC0" w:rsidRDefault="00333AC0" w:rsidP="00011A05">
      <w:pPr>
        <w:widowControl/>
        <w:autoSpaceDE w:val="0"/>
        <w:autoSpaceDN w:val="0"/>
        <w:adjustRightInd w:val="0"/>
        <w:rPr>
          <w:rFonts w:cs="Arial"/>
          <w:color w:val="000000" w:themeColor="text1"/>
        </w:rPr>
      </w:pPr>
      <w:r w:rsidRPr="00E92468">
        <w:rPr>
          <w:color w:val="000000" w:themeColor="text1"/>
        </w:rPr>
        <w:t xml:space="preserve">The levels of each analyte in the major analyses were compared to levels in: a) the non-GM parental line, Rc82 and b) levels recorded in the literature, noting that data are limited for raw rice. Of the 69 analytes considered in the major analyses, and with the exception of </w:t>
      </w:r>
      <w:r w:rsidRPr="00E92468">
        <w:rPr>
          <w:rFonts w:cs="Arial"/>
          <w:color w:val="000000" w:themeColor="text1"/>
          <w:szCs w:val="22"/>
        </w:rPr>
        <w:t xml:space="preserve">β-carotene which was expected to be higher in GR2E, only stearic acid in GR2E differed significantly from the control. All non-carotenoid analyte levels in GR2E </w:t>
      </w:r>
      <w:r w:rsidRPr="00E92468">
        <w:rPr>
          <w:rFonts w:cs="Arial"/>
          <w:color w:val="000000" w:themeColor="text1"/>
          <w:szCs w:val="22"/>
          <w:lang w:eastAsia="en-GB" w:bidi="ar-SA"/>
        </w:rPr>
        <w:t>were within, or similar to, the range of natural variability of those components in conventional rice varieties as reported in the limited literature.</w:t>
      </w:r>
      <w:r w:rsidRPr="00E92468">
        <w:rPr>
          <w:rFonts w:cs="Arial"/>
          <w:color w:val="000000" w:themeColor="text1"/>
        </w:rPr>
        <w:t xml:space="preserve"> It can therefore be concluded that apart from the elevated levels of carotenoids, the grain in GR2E is compositionally equivalent to grain from conventional rice varieties.</w:t>
      </w:r>
    </w:p>
    <w:p w14:paraId="2064372B" w14:textId="77777777" w:rsidR="00333AC0" w:rsidRPr="009537EA" w:rsidRDefault="00333AC0" w:rsidP="00011A05">
      <w:pPr>
        <w:pStyle w:val="Heading2"/>
        <w:rPr>
          <w:color w:val="000000" w:themeColor="text1"/>
        </w:rPr>
      </w:pPr>
      <w:bookmarkStart w:id="9" w:name="_Toc470008706"/>
      <w:r w:rsidRPr="009537EA">
        <w:rPr>
          <w:color w:val="000000" w:themeColor="text1"/>
        </w:rPr>
        <w:t>Conclusion</w:t>
      </w:r>
      <w:bookmarkEnd w:id="9"/>
    </w:p>
    <w:p w14:paraId="2064372C" w14:textId="77777777" w:rsidR="00333AC0" w:rsidRPr="009537EA" w:rsidRDefault="00333AC0" w:rsidP="00011A05">
      <w:pPr>
        <w:rPr>
          <w:color w:val="000000" w:themeColor="text1"/>
        </w:rPr>
      </w:pPr>
      <w:r w:rsidRPr="009537EA">
        <w:rPr>
          <w:color w:val="000000" w:themeColor="text1"/>
        </w:rPr>
        <w:t>No potential public health and safety concerns have been identified in the assessment of GR2E. On the basis of the data provided in the present Application, and other available information, food derived from GR2E is considered to be as safe for human consumption as food derived from conventional rice varieties.</w:t>
      </w:r>
    </w:p>
    <w:p w14:paraId="2064372D" w14:textId="77777777" w:rsidR="00333AC0" w:rsidRPr="00E308F0" w:rsidRDefault="00333AC0" w:rsidP="00011A05">
      <w:pPr>
        <w:pStyle w:val="FSCh2Part"/>
        <w:ind w:left="709" w:hanging="709"/>
        <w:rPr>
          <w:color w:val="FF0000"/>
        </w:rPr>
        <w:sectPr w:rsidR="00333AC0" w:rsidRPr="00E308F0" w:rsidSect="00011A05">
          <w:footerReference w:type="even" r:id="rId15"/>
          <w:footerReference w:type="default" r:id="rId16"/>
          <w:headerReference w:type="first" r:id="rId17"/>
          <w:pgSz w:w="11906" w:h="16838"/>
          <w:pgMar w:top="1418" w:right="1418" w:bottom="1418" w:left="1418" w:header="709" w:footer="709" w:gutter="0"/>
          <w:cols w:space="708"/>
          <w:docGrid w:linePitch="360"/>
        </w:sectPr>
      </w:pPr>
    </w:p>
    <w:sdt>
      <w:sdtPr>
        <w:rPr>
          <w:rFonts w:eastAsia="Times New Roman" w:cstheme="minorHAnsi"/>
          <w:b w:val="0"/>
          <w:bCs w:val="0"/>
          <w:caps/>
          <w:color w:val="FF0000"/>
          <w:sz w:val="22"/>
          <w:szCs w:val="24"/>
          <w:lang w:bidi="en-US"/>
        </w:rPr>
        <w:id w:val="-283736210"/>
        <w:docPartObj>
          <w:docPartGallery w:val="Table of Contents"/>
          <w:docPartUnique/>
        </w:docPartObj>
      </w:sdtPr>
      <w:sdtEndPr>
        <w:rPr>
          <w:b/>
          <w:bCs/>
          <w:noProof/>
          <w:color w:val="000000" w:themeColor="text1"/>
          <w:szCs w:val="20"/>
        </w:rPr>
      </w:sdtEndPr>
      <w:sdtContent>
        <w:p w14:paraId="2064372E" w14:textId="77777777" w:rsidR="00333AC0" w:rsidRPr="009537EA" w:rsidRDefault="00333AC0">
          <w:pPr>
            <w:pStyle w:val="TOCHeading"/>
            <w:rPr>
              <w:color w:val="000000" w:themeColor="text1"/>
              <w:sz w:val="28"/>
            </w:rPr>
          </w:pPr>
          <w:r w:rsidRPr="009537EA">
            <w:rPr>
              <w:color w:val="000000" w:themeColor="text1"/>
              <w:sz w:val="28"/>
            </w:rPr>
            <w:t>Table of Contents</w:t>
          </w:r>
        </w:p>
        <w:p w14:paraId="2064372F" w14:textId="77777777" w:rsidR="00333AC0" w:rsidRDefault="00333AC0">
          <w:pPr>
            <w:pStyle w:val="TOC1"/>
            <w:rPr>
              <w:rFonts w:asciiTheme="minorHAnsi" w:eastAsiaTheme="minorEastAsia" w:hAnsiTheme="minorHAnsi" w:cstheme="minorBidi"/>
              <w:b w:val="0"/>
              <w:bCs w:val="0"/>
              <w:caps w:val="0"/>
              <w:noProof/>
              <w:szCs w:val="22"/>
              <w:lang w:eastAsia="en-GB" w:bidi="ar-SA"/>
            </w:rPr>
          </w:pPr>
          <w:r w:rsidRPr="006607C4">
            <w:rPr>
              <w:rFonts w:asciiTheme="minorHAnsi" w:hAnsiTheme="minorHAnsi"/>
              <w:color w:val="000000" w:themeColor="text1"/>
              <w:sz w:val="20"/>
            </w:rPr>
            <w:fldChar w:fldCharType="begin"/>
          </w:r>
          <w:r w:rsidRPr="006607C4">
            <w:rPr>
              <w:rFonts w:asciiTheme="minorHAnsi" w:hAnsiTheme="minorHAnsi"/>
              <w:color w:val="000000" w:themeColor="text1"/>
              <w:sz w:val="20"/>
            </w:rPr>
            <w:instrText xml:space="preserve"> TOC \o "1-2" \h \z \u </w:instrText>
          </w:r>
          <w:r w:rsidRPr="006607C4">
            <w:rPr>
              <w:rFonts w:asciiTheme="minorHAnsi" w:hAnsiTheme="minorHAnsi"/>
              <w:color w:val="000000" w:themeColor="text1"/>
              <w:sz w:val="20"/>
            </w:rPr>
            <w:fldChar w:fldCharType="separate"/>
          </w:r>
          <w:hyperlink w:anchor="_Toc470008700" w:history="1">
            <w:r w:rsidRPr="00DD7193">
              <w:rPr>
                <w:rStyle w:val="Hyperlink"/>
                <w:noProof/>
              </w:rPr>
              <w:t>Summary and conclusions</w:t>
            </w:r>
            <w:r>
              <w:rPr>
                <w:noProof/>
                <w:webHidden/>
              </w:rPr>
              <w:tab/>
            </w:r>
            <w:r>
              <w:rPr>
                <w:noProof/>
                <w:webHidden/>
              </w:rPr>
              <w:fldChar w:fldCharType="begin"/>
            </w:r>
            <w:r>
              <w:rPr>
                <w:noProof/>
                <w:webHidden/>
              </w:rPr>
              <w:instrText xml:space="preserve"> PAGEREF _Toc470008700 \h </w:instrText>
            </w:r>
            <w:r>
              <w:rPr>
                <w:noProof/>
                <w:webHidden/>
              </w:rPr>
            </w:r>
            <w:r>
              <w:rPr>
                <w:noProof/>
                <w:webHidden/>
              </w:rPr>
              <w:fldChar w:fldCharType="separate"/>
            </w:r>
            <w:r w:rsidR="00286242">
              <w:rPr>
                <w:noProof/>
                <w:webHidden/>
              </w:rPr>
              <w:t>1</w:t>
            </w:r>
            <w:r>
              <w:rPr>
                <w:noProof/>
                <w:webHidden/>
              </w:rPr>
              <w:fldChar w:fldCharType="end"/>
            </w:r>
          </w:hyperlink>
        </w:p>
        <w:p w14:paraId="20643730"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1" w:history="1">
            <w:r w:rsidR="00333AC0" w:rsidRPr="00DD7193">
              <w:rPr>
                <w:rStyle w:val="Hyperlink"/>
                <w:noProof/>
              </w:rPr>
              <w:t>Background</w:t>
            </w:r>
            <w:r w:rsidR="00333AC0">
              <w:rPr>
                <w:noProof/>
                <w:webHidden/>
              </w:rPr>
              <w:tab/>
            </w:r>
            <w:r w:rsidR="00333AC0">
              <w:rPr>
                <w:noProof/>
                <w:webHidden/>
              </w:rPr>
              <w:fldChar w:fldCharType="begin"/>
            </w:r>
            <w:r w:rsidR="00333AC0">
              <w:rPr>
                <w:noProof/>
                <w:webHidden/>
              </w:rPr>
              <w:instrText xml:space="preserve"> PAGEREF _Toc470008701 \h </w:instrText>
            </w:r>
            <w:r w:rsidR="00333AC0">
              <w:rPr>
                <w:noProof/>
                <w:webHidden/>
              </w:rPr>
            </w:r>
            <w:r w:rsidR="00333AC0">
              <w:rPr>
                <w:noProof/>
                <w:webHidden/>
              </w:rPr>
              <w:fldChar w:fldCharType="separate"/>
            </w:r>
            <w:r>
              <w:rPr>
                <w:noProof/>
                <w:webHidden/>
              </w:rPr>
              <w:t>1</w:t>
            </w:r>
            <w:r w:rsidR="00333AC0">
              <w:rPr>
                <w:noProof/>
                <w:webHidden/>
              </w:rPr>
              <w:fldChar w:fldCharType="end"/>
            </w:r>
          </w:hyperlink>
        </w:p>
        <w:p w14:paraId="20643731"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2" w:history="1">
            <w:r w:rsidR="00333AC0" w:rsidRPr="00DD7193">
              <w:rPr>
                <w:rStyle w:val="Hyperlink"/>
                <w:noProof/>
              </w:rPr>
              <w:t>History of use</w:t>
            </w:r>
            <w:r w:rsidR="00333AC0">
              <w:rPr>
                <w:noProof/>
                <w:webHidden/>
              </w:rPr>
              <w:tab/>
            </w:r>
            <w:r w:rsidR="00333AC0">
              <w:rPr>
                <w:noProof/>
                <w:webHidden/>
              </w:rPr>
              <w:fldChar w:fldCharType="begin"/>
            </w:r>
            <w:r w:rsidR="00333AC0">
              <w:rPr>
                <w:noProof/>
                <w:webHidden/>
              </w:rPr>
              <w:instrText xml:space="preserve"> PAGEREF _Toc470008702 \h </w:instrText>
            </w:r>
            <w:r w:rsidR="00333AC0">
              <w:rPr>
                <w:noProof/>
                <w:webHidden/>
              </w:rPr>
            </w:r>
            <w:r w:rsidR="00333AC0">
              <w:rPr>
                <w:noProof/>
                <w:webHidden/>
              </w:rPr>
              <w:fldChar w:fldCharType="separate"/>
            </w:r>
            <w:r>
              <w:rPr>
                <w:noProof/>
                <w:webHidden/>
              </w:rPr>
              <w:t>1</w:t>
            </w:r>
            <w:r w:rsidR="00333AC0">
              <w:rPr>
                <w:noProof/>
                <w:webHidden/>
              </w:rPr>
              <w:fldChar w:fldCharType="end"/>
            </w:r>
          </w:hyperlink>
        </w:p>
        <w:p w14:paraId="20643732"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3" w:history="1">
            <w:r w:rsidR="00333AC0" w:rsidRPr="00DD7193">
              <w:rPr>
                <w:rStyle w:val="Hyperlink"/>
                <w:noProof/>
              </w:rPr>
              <w:t>Molecular characterisation</w:t>
            </w:r>
            <w:r w:rsidR="00333AC0">
              <w:rPr>
                <w:noProof/>
                <w:webHidden/>
              </w:rPr>
              <w:tab/>
            </w:r>
            <w:r w:rsidR="00333AC0">
              <w:rPr>
                <w:noProof/>
                <w:webHidden/>
              </w:rPr>
              <w:fldChar w:fldCharType="begin"/>
            </w:r>
            <w:r w:rsidR="00333AC0">
              <w:rPr>
                <w:noProof/>
                <w:webHidden/>
              </w:rPr>
              <w:instrText xml:space="preserve"> PAGEREF _Toc470008703 \h </w:instrText>
            </w:r>
            <w:r w:rsidR="00333AC0">
              <w:rPr>
                <w:noProof/>
                <w:webHidden/>
              </w:rPr>
            </w:r>
            <w:r w:rsidR="00333AC0">
              <w:rPr>
                <w:noProof/>
                <w:webHidden/>
              </w:rPr>
              <w:fldChar w:fldCharType="separate"/>
            </w:r>
            <w:r>
              <w:rPr>
                <w:noProof/>
                <w:webHidden/>
              </w:rPr>
              <w:t>2</w:t>
            </w:r>
            <w:r w:rsidR="00333AC0">
              <w:rPr>
                <w:noProof/>
                <w:webHidden/>
              </w:rPr>
              <w:fldChar w:fldCharType="end"/>
            </w:r>
          </w:hyperlink>
        </w:p>
        <w:p w14:paraId="20643733"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4" w:history="1">
            <w:r w:rsidR="00333AC0" w:rsidRPr="00DD7193">
              <w:rPr>
                <w:rStyle w:val="Hyperlink"/>
                <w:noProof/>
              </w:rPr>
              <w:t>Characterisation and safety assessment of new substances</w:t>
            </w:r>
            <w:r w:rsidR="00333AC0">
              <w:rPr>
                <w:noProof/>
                <w:webHidden/>
              </w:rPr>
              <w:tab/>
            </w:r>
            <w:r w:rsidR="00333AC0">
              <w:rPr>
                <w:noProof/>
                <w:webHidden/>
              </w:rPr>
              <w:fldChar w:fldCharType="begin"/>
            </w:r>
            <w:r w:rsidR="00333AC0">
              <w:rPr>
                <w:noProof/>
                <w:webHidden/>
              </w:rPr>
              <w:instrText xml:space="preserve"> PAGEREF _Toc470008704 \h </w:instrText>
            </w:r>
            <w:r w:rsidR="00333AC0">
              <w:rPr>
                <w:noProof/>
                <w:webHidden/>
              </w:rPr>
            </w:r>
            <w:r w:rsidR="00333AC0">
              <w:rPr>
                <w:noProof/>
                <w:webHidden/>
              </w:rPr>
              <w:fldChar w:fldCharType="separate"/>
            </w:r>
            <w:r>
              <w:rPr>
                <w:noProof/>
                <w:webHidden/>
              </w:rPr>
              <w:t>2</w:t>
            </w:r>
            <w:r w:rsidR="00333AC0">
              <w:rPr>
                <w:noProof/>
                <w:webHidden/>
              </w:rPr>
              <w:fldChar w:fldCharType="end"/>
            </w:r>
          </w:hyperlink>
        </w:p>
        <w:p w14:paraId="20643734"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5" w:history="1">
            <w:r w:rsidR="00333AC0" w:rsidRPr="00DD7193">
              <w:rPr>
                <w:rStyle w:val="Hyperlink"/>
                <w:noProof/>
              </w:rPr>
              <w:t>Compositional analyses</w:t>
            </w:r>
            <w:r w:rsidR="00333AC0">
              <w:rPr>
                <w:noProof/>
                <w:webHidden/>
              </w:rPr>
              <w:tab/>
            </w:r>
            <w:r w:rsidR="00333AC0">
              <w:rPr>
                <w:noProof/>
                <w:webHidden/>
              </w:rPr>
              <w:fldChar w:fldCharType="begin"/>
            </w:r>
            <w:r w:rsidR="00333AC0">
              <w:rPr>
                <w:noProof/>
                <w:webHidden/>
              </w:rPr>
              <w:instrText xml:space="preserve"> PAGEREF _Toc470008705 \h </w:instrText>
            </w:r>
            <w:r w:rsidR="00333AC0">
              <w:rPr>
                <w:noProof/>
                <w:webHidden/>
              </w:rPr>
            </w:r>
            <w:r w:rsidR="00333AC0">
              <w:rPr>
                <w:noProof/>
                <w:webHidden/>
              </w:rPr>
              <w:fldChar w:fldCharType="separate"/>
            </w:r>
            <w:r>
              <w:rPr>
                <w:noProof/>
                <w:webHidden/>
              </w:rPr>
              <w:t>3</w:t>
            </w:r>
            <w:r w:rsidR="00333AC0">
              <w:rPr>
                <w:noProof/>
                <w:webHidden/>
              </w:rPr>
              <w:fldChar w:fldCharType="end"/>
            </w:r>
          </w:hyperlink>
        </w:p>
        <w:p w14:paraId="20643735"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06" w:history="1">
            <w:r w:rsidR="00333AC0" w:rsidRPr="00DD7193">
              <w:rPr>
                <w:rStyle w:val="Hyperlink"/>
                <w:noProof/>
              </w:rPr>
              <w:t>Conclusion</w:t>
            </w:r>
            <w:r w:rsidR="00333AC0">
              <w:rPr>
                <w:noProof/>
                <w:webHidden/>
              </w:rPr>
              <w:tab/>
            </w:r>
            <w:r w:rsidR="00333AC0">
              <w:rPr>
                <w:noProof/>
                <w:webHidden/>
              </w:rPr>
              <w:fldChar w:fldCharType="begin"/>
            </w:r>
            <w:r w:rsidR="00333AC0">
              <w:rPr>
                <w:noProof/>
                <w:webHidden/>
              </w:rPr>
              <w:instrText xml:space="preserve"> PAGEREF _Toc470008706 \h </w:instrText>
            </w:r>
            <w:r w:rsidR="00333AC0">
              <w:rPr>
                <w:noProof/>
                <w:webHidden/>
              </w:rPr>
            </w:r>
            <w:r w:rsidR="00333AC0">
              <w:rPr>
                <w:noProof/>
                <w:webHidden/>
              </w:rPr>
              <w:fldChar w:fldCharType="separate"/>
            </w:r>
            <w:r>
              <w:rPr>
                <w:noProof/>
                <w:webHidden/>
              </w:rPr>
              <w:t>3</w:t>
            </w:r>
            <w:r w:rsidR="00333AC0">
              <w:rPr>
                <w:noProof/>
                <w:webHidden/>
              </w:rPr>
              <w:fldChar w:fldCharType="end"/>
            </w:r>
          </w:hyperlink>
        </w:p>
        <w:p w14:paraId="20643736" w14:textId="77777777" w:rsidR="00333AC0" w:rsidRDefault="00286242">
          <w:pPr>
            <w:pStyle w:val="TOC1"/>
            <w:rPr>
              <w:rFonts w:asciiTheme="minorHAnsi" w:eastAsiaTheme="minorEastAsia" w:hAnsiTheme="minorHAnsi" w:cstheme="minorBidi"/>
              <w:b w:val="0"/>
              <w:bCs w:val="0"/>
              <w:caps w:val="0"/>
              <w:noProof/>
              <w:szCs w:val="22"/>
              <w:lang w:eastAsia="en-GB" w:bidi="ar-SA"/>
            </w:rPr>
          </w:pPr>
          <w:hyperlink w:anchor="_Toc470008707" w:history="1">
            <w:r w:rsidR="00333AC0" w:rsidRPr="00DD7193">
              <w:rPr>
                <w:rStyle w:val="Hyperlink"/>
                <w:noProof/>
              </w:rPr>
              <w:t>List of Figures</w:t>
            </w:r>
            <w:r w:rsidR="00333AC0">
              <w:rPr>
                <w:noProof/>
                <w:webHidden/>
              </w:rPr>
              <w:tab/>
            </w:r>
            <w:r w:rsidR="00333AC0">
              <w:rPr>
                <w:noProof/>
                <w:webHidden/>
              </w:rPr>
              <w:fldChar w:fldCharType="begin"/>
            </w:r>
            <w:r w:rsidR="00333AC0">
              <w:rPr>
                <w:noProof/>
                <w:webHidden/>
              </w:rPr>
              <w:instrText xml:space="preserve"> PAGEREF _Toc470008707 \h </w:instrText>
            </w:r>
            <w:r w:rsidR="00333AC0">
              <w:rPr>
                <w:noProof/>
                <w:webHidden/>
              </w:rPr>
            </w:r>
            <w:r w:rsidR="00333AC0">
              <w:rPr>
                <w:noProof/>
                <w:webHidden/>
              </w:rPr>
              <w:fldChar w:fldCharType="separate"/>
            </w:r>
            <w:r>
              <w:rPr>
                <w:noProof/>
                <w:webHidden/>
              </w:rPr>
              <w:t>2</w:t>
            </w:r>
            <w:r w:rsidR="00333AC0">
              <w:rPr>
                <w:noProof/>
                <w:webHidden/>
              </w:rPr>
              <w:fldChar w:fldCharType="end"/>
            </w:r>
          </w:hyperlink>
        </w:p>
        <w:p w14:paraId="20643737" w14:textId="77777777" w:rsidR="00333AC0" w:rsidRDefault="00286242">
          <w:pPr>
            <w:pStyle w:val="TOC1"/>
            <w:rPr>
              <w:rFonts w:asciiTheme="minorHAnsi" w:eastAsiaTheme="minorEastAsia" w:hAnsiTheme="minorHAnsi" w:cstheme="minorBidi"/>
              <w:b w:val="0"/>
              <w:bCs w:val="0"/>
              <w:caps w:val="0"/>
              <w:noProof/>
              <w:szCs w:val="22"/>
              <w:lang w:eastAsia="en-GB" w:bidi="ar-SA"/>
            </w:rPr>
          </w:pPr>
          <w:hyperlink w:anchor="_Toc470008708" w:history="1">
            <w:r w:rsidR="00333AC0" w:rsidRPr="00DD7193">
              <w:rPr>
                <w:rStyle w:val="Hyperlink"/>
                <w:noProof/>
              </w:rPr>
              <w:t>List of Tables</w:t>
            </w:r>
            <w:r w:rsidR="00333AC0">
              <w:rPr>
                <w:noProof/>
                <w:webHidden/>
              </w:rPr>
              <w:tab/>
            </w:r>
            <w:r w:rsidR="00333AC0">
              <w:rPr>
                <w:noProof/>
                <w:webHidden/>
              </w:rPr>
              <w:fldChar w:fldCharType="begin"/>
            </w:r>
            <w:r w:rsidR="00333AC0">
              <w:rPr>
                <w:noProof/>
                <w:webHidden/>
              </w:rPr>
              <w:instrText xml:space="preserve"> PAGEREF _Toc470008708 \h </w:instrText>
            </w:r>
            <w:r w:rsidR="00333AC0">
              <w:rPr>
                <w:noProof/>
                <w:webHidden/>
              </w:rPr>
            </w:r>
            <w:r w:rsidR="00333AC0">
              <w:rPr>
                <w:noProof/>
                <w:webHidden/>
              </w:rPr>
              <w:fldChar w:fldCharType="separate"/>
            </w:r>
            <w:r>
              <w:rPr>
                <w:noProof/>
                <w:webHidden/>
              </w:rPr>
              <w:t>2</w:t>
            </w:r>
            <w:r w:rsidR="00333AC0">
              <w:rPr>
                <w:noProof/>
                <w:webHidden/>
              </w:rPr>
              <w:fldChar w:fldCharType="end"/>
            </w:r>
          </w:hyperlink>
        </w:p>
        <w:p w14:paraId="20643738" w14:textId="77777777" w:rsidR="00333AC0" w:rsidRDefault="00286242">
          <w:pPr>
            <w:pStyle w:val="TOC1"/>
            <w:rPr>
              <w:rFonts w:asciiTheme="minorHAnsi" w:eastAsiaTheme="minorEastAsia" w:hAnsiTheme="minorHAnsi" w:cstheme="minorBidi"/>
              <w:b w:val="0"/>
              <w:bCs w:val="0"/>
              <w:caps w:val="0"/>
              <w:noProof/>
              <w:szCs w:val="22"/>
              <w:lang w:eastAsia="en-GB" w:bidi="ar-SA"/>
            </w:rPr>
          </w:pPr>
          <w:hyperlink w:anchor="_Toc470008709" w:history="1">
            <w:r w:rsidR="00333AC0" w:rsidRPr="00DD7193">
              <w:rPr>
                <w:rStyle w:val="Hyperlink"/>
                <w:noProof/>
              </w:rPr>
              <w:t>List of Abbreviations</w:t>
            </w:r>
            <w:r w:rsidR="00333AC0">
              <w:rPr>
                <w:noProof/>
                <w:webHidden/>
              </w:rPr>
              <w:tab/>
            </w:r>
            <w:r w:rsidR="00333AC0">
              <w:rPr>
                <w:noProof/>
                <w:webHidden/>
              </w:rPr>
              <w:fldChar w:fldCharType="begin"/>
            </w:r>
            <w:r w:rsidR="00333AC0">
              <w:rPr>
                <w:noProof/>
                <w:webHidden/>
              </w:rPr>
              <w:instrText xml:space="preserve"> PAGEREF _Toc470008709 \h </w:instrText>
            </w:r>
            <w:r w:rsidR="00333AC0">
              <w:rPr>
                <w:noProof/>
                <w:webHidden/>
              </w:rPr>
            </w:r>
            <w:r w:rsidR="00333AC0">
              <w:rPr>
                <w:noProof/>
                <w:webHidden/>
              </w:rPr>
              <w:fldChar w:fldCharType="separate"/>
            </w:r>
            <w:r>
              <w:rPr>
                <w:noProof/>
                <w:webHidden/>
              </w:rPr>
              <w:t>3</w:t>
            </w:r>
            <w:r w:rsidR="00333AC0">
              <w:rPr>
                <w:noProof/>
                <w:webHidden/>
              </w:rPr>
              <w:fldChar w:fldCharType="end"/>
            </w:r>
          </w:hyperlink>
        </w:p>
        <w:p w14:paraId="20643739"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10" w:history="1">
            <w:r w:rsidR="00333AC0" w:rsidRPr="00DD7193">
              <w:rPr>
                <w:rStyle w:val="Hyperlink"/>
                <w:noProof/>
              </w:rPr>
              <w:t>1</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Introduction</w:t>
            </w:r>
            <w:r w:rsidR="00333AC0">
              <w:rPr>
                <w:noProof/>
                <w:webHidden/>
              </w:rPr>
              <w:tab/>
            </w:r>
            <w:r w:rsidR="00333AC0">
              <w:rPr>
                <w:noProof/>
                <w:webHidden/>
              </w:rPr>
              <w:fldChar w:fldCharType="begin"/>
            </w:r>
            <w:r w:rsidR="00333AC0">
              <w:rPr>
                <w:noProof/>
                <w:webHidden/>
              </w:rPr>
              <w:instrText xml:space="preserve"> PAGEREF _Toc470008710 \h </w:instrText>
            </w:r>
            <w:r w:rsidR="00333AC0">
              <w:rPr>
                <w:noProof/>
                <w:webHidden/>
              </w:rPr>
            </w:r>
            <w:r w:rsidR="00333AC0">
              <w:rPr>
                <w:noProof/>
                <w:webHidden/>
              </w:rPr>
              <w:fldChar w:fldCharType="separate"/>
            </w:r>
            <w:r>
              <w:rPr>
                <w:noProof/>
                <w:webHidden/>
              </w:rPr>
              <w:t>5</w:t>
            </w:r>
            <w:r w:rsidR="00333AC0">
              <w:rPr>
                <w:noProof/>
                <w:webHidden/>
              </w:rPr>
              <w:fldChar w:fldCharType="end"/>
            </w:r>
          </w:hyperlink>
        </w:p>
        <w:p w14:paraId="2064373A"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11" w:history="1">
            <w:r w:rsidR="00333AC0" w:rsidRPr="00DD7193">
              <w:rPr>
                <w:rStyle w:val="Hyperlink"/>
                <w:noProof/>
              </w:rPr>
              <w:t>2</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History of use</w:t>
            </w:r>
            <w:r w:rsidR="00333AC0">
              <w:rPr>
                <w:noProof/>
                <w:webHidden/>
              </w:rPr>
              <w:tab/>
            </w:r>
            <w:r w:rsidR="00333AC0">
              <w:rPr>
                <w:noProof/>
                <w:webHidden/>
              </w:rPr>
              <w:fldChar w:fldCharType="begin"/>
            </w:r>
            <w:r w:rsidR="00333AC0">
              <w:rPr>
                <w:noProof/>
                <w:webHidden/>
              </w:rPr>
              <w:instrText xml:space="preserve"> PAGEREF _Toc470008711 \h </w:instrText>
            </w:r>
            <w:r w:rsidR="00333AC0">
              <w:rPr>
                <w:noProof/>
                <w:webHidden/>
              </w:rPr>
            </w:r>
            <w:r w:rsidR="00333AC0">
              <w:rPr>
                <w:noProof/>
                <w:webHidden/>
              </w:rPr>
              <w:fldChar w:fldCharType="separate"/>
            </w:r>
            <w:r>
              <w:rPr>
                <w:noProof/>
                <w:webHidden/>
              </w:rPr>
              <w:t>5</w:t>
            </w:r>
            <w:r w:rsidR="00333AC0">
              <w:rPr>
                <w:noProof/>
                <w:webHidden/>
              </w:rPr>
              <w:fldChar w:fldCharType="end"/>
            </w:r>
          </w:hyperlink>
        </w:p>
        <w:p w14:paraId="2064373B"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2" w:history="1">
            <w:r w:rsidR="00333AC0" w:rsidRPr="00DD7193">
              <w:rPr>
                <w:rStyle w:val="Hyperlink"/>
                <w:noProof/>
              </w:rPr>
              <w:t>2.1</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Host organism</w:t>
            </w:r>
            <w:r w:rsidR="00333AC0">
              <w:rPr>
                <w:noProof/>
                <w:webHidden/>
              </w:rPr>
              <w:tab/>
            </w:r>
            <w:r w:rsidR="00333AC0">
              <w:rPr>
                <w:noProof/>
                <w:webHidden/>
              </w:rPr>
              <w:fldChar w:fldCharType="begin"/>
            </w:r>
            <w:r w:rsidR="00333AC0">
              <w:rPr>
                <w:noProof/>
                <w:webHidden/>
              </w:rPr>
              <w:instrText xml:space="preserve"> PAGEREF _Toc470008712 \h </w:instrText>
            </w:r>
            <w:r w:rsidR="00333AC0">
              <w:rPr>
                <w:noProof/>
                <w:webHidden/>
              </w:rPr>
            </w:r>
            <w:r w:rsidR="00333AC0">
              <w:rPr>
                <w:noProof/>
                <w:webHidden/>
              </w:rPr>
              <w:fldChar w:fldCharType="separate"/>
            </w:r>
            <w:r>
              <w:rPr>
                <w:noProof/>
                <w:webHidden/>
              </w:rPr>
              <w:t>5</w:t>
            </w:r>
            <w:r w:rsidR="00333AC0">
              <w:rPr>
                <w:noProof/>
                <w:webHidden/>
              </w:rPr>
              <w:fldChar w:fldCharType="end"/>
            </w:r>
          </w:hyperlink>
        </w:p>
        <w:p w14:paraId="2064373C"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3" w:history="1">
            <w:r w:rsidR="00333AC0" w:rsidRPr="00DD7193">
              <w:rPr>
                <w:rStyle w:val="Hyperlink"/>
                <w:noProof/>
              </w:rPr>
              <w:t>2.2</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Donor organisms</w:t>
            </w:r>
            <w:r w:rsidR="00333AC0">
              <w:rPr>
                <w:noProof/>
                <w:webHidden/>
              </w:rPr>
              <w:tab/>
            </w:r>
            <w:r w:rsidR="00333AC0">
              <w:rPr>
                <w:noProof/>
                <w:webHidden/>
              </w:rPr>
              <w:fldChar w:fldCharType="begin"/>
            </w:r>
            <w:r w:rsidR="00333AC0">
              <w:rPr>
                <w:noProof/>
                <w:webHidden/>
              </w:rPr>
              <w:instrText xml:space="preserve"> PAGEREF _Toc470008713 \h </w:instrText>
            </w:r>
            <w:r w:rsidR="00333AC0">
              <w:rPr>
                <w:noProof/>
                <w:webHidden/>
              </w:rPr>
            </w:r>
            <w:r w:rsidR="00333AC0">
              <w:rPr>
                <w:noProof/>
                <w:webHidden/>
              </w:rPr>
              <w:fldChar w:fldCharType="separate"/>
            </w:r>
            <w:r>
              <w:rPr>
                <w:noProof/>
                <w:webHidden/>
              </w:rPr>
              <w:t>8</w:t>
            </w:r>
            <w:r w:rsidR="00333AC0">
              <w:rPr>
                <w:noProof/>
                <w:webHidden/>
              </w:rPr>
              <w:fldChar w:fldCharType="end"/>
            </w:r>
          </w:hyperlink>
        </w:p>
        <w:p w14:paraId="2064373D"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14" w:history="1">
            <w:r w:rsidR="00333AC0" w:rsidRPr="00DD7193">
              <w:rPr>
                <w:rStyle w:val="Hyperlink"/>
                <w:noProof/>
              </w:rPr>
              <w:t>3</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Molecular characterisation</w:t>
            </w:r>
            <w:r w:rsidR="00333AC0">
              <w:rPr>
                <w:noProof/>
                <w:webHidden/>
              </w:rPr>
              <w:tab/>
            </w:r>
            <w:r w:rsidR="00333AC0">
              <w:rPr>
                <w:noProof/>
                <w:webHidden/>
              </w:rPr>
              <w:fldChar w:fldCharType="begin"/>
            </w:r>
            <w:r w:rsidR="00333AC0">
              <w:rPr>
                <w:noProof/>
                <w:webHidden/>
              </w:rPr>
              <w:instrText xml:space="preserve"> PAGEREF _Toc470008714 \h </w:instrText>
            </w:r>
            <w:r w:rsidR="00333AC0">
              <w:rPr>
                <w:noProof/>
                <w:webHidden/>
              </w:rPr>
            </w:r>
            <w:r w:rsidR="00333AC0">
              <w:rPr>
                <w:noProof/>
                <w:webHidden/>
              </w:rPr>
              <w:fldChar w:fldCharType="separate"/>
            </w:r>
            <w:r>
              <w:rPr>
                <w:noProof/>
                <w:webHidden/>
              </w:rPr>
              <w:t>9</w:t>
            </w:r>
            <w:r w:rsidR="00333AC0">
              <w:rPr>
                <w:noProof/>
                <w:webHidden/>
              </w:rPr>
              <w:fldChar w:fldCharType="end"/>
            </w:r>
          </w:hyperlink>
        </w:p>
        <w:p w14:paraId="2064373E"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5" w:history="1">
            <w:r w:rsidR="00333AC0" w:rsidRPr="00DD7193">
              <w:rPr>
                <w:rStyle w:val="Hyperlink"/>
                <w:noProof/>
              </w:rPr>
              <w:t xml:space="preserve">3.1 </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Method used in the genetic modification</w:t>
            </w:r>
            <w:r w:rsidR="00333AC0">
              <w:rPr>
                <w:noProof/>
                <w:webHidden/>
              </w:rPr>
              <w:tab/>
            </w:r>
            <w:r w:rsidR="00333AC0">
              <w:rPr>
                <w:noProof/>
                <w:webHidden/>
              </w:rPr>
              <w:fldChar w:fldCharType="begin"/>
            </w:r>
            <w:r w:rsidR="00333AC0">
              <w:rPr>
                <w:noProof/>
                <w:webHidden/>
              </w:rPr>
              <w:instrText xml:space="preserve"> PAGEREF _Toc470008715 \h </w:instrText>
            </w:r>
            <w:r w:rsidR="00333AC0">
              <w:rPr>
                <w:noProof/>
                <w:webHidden/>
              </w:rPr>
            </w:r>
            <w:r w:rsidR="00333AC0">
              <w:rPr>
                <w:noProof/>
                <w:webHidden/>
              </w:rPr>
              <w:fldChar w:fldCharType="separate"/>
            </w:r>
            <w:r>
              <w:rPr>
                <w:noProof/>
                <w:webHidden/>
              </w:rPr>
              <w:t>9</w:t>
            </w:r>
            <w:r w:rsidR="00333AC0">
              <w:rPr>
                <w:noProof/>
                <w:webHidden/>
              </w:rPr>
              <w:fldChar w:fldCharType="end"/>
            </w:r>
          </w:hyperlink>
        </w:p>
        <w:p w14:paraId="2064373F"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6" w:history="1">
            <w:r w:rsidR="00333AC0" w:rsidRPr="00DD7193">
              <w:rPr>
                <w:rStyle w:val="Hyperlink"/>
                <w:noProof/>
              </w:rPr>
              <w:t xml:space="preserve">3.2 </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Function and regulation of introduced gene fragments</w:t>
            </w:r>
            <w:r w:rsidR="00333AC0">
              <w:rPr>
                <w:noProof/>
                <w:webHidden/>
              </w:rPr>
              <w:tab/>
            </w:r>
            <w:r w:rsidR="00333AC0">
              <w:rPr>
                <w:noProof/>
                <w:webHidden/>
              </w:rPr>
              <w:fldChar w:fldCharType="begin"/>
            </w:r>
            <w:r w:rsidR="00333AC0">
              <w:rPr>
                <w:noProof/>
                <w:webHidden/>
              </w:rPr>
              <w:instrText xml:space="preserve"> PAGEREF _Toc470008716 \h </w:instrText>
            </w:r>
            <w:r w:rsidR="00333AC0">
              <w:rPr>
                <w:noProof/>
                <w:webHidden/>
              </w:rPr>
            </w:r>
            <w:r w:rsidR="00333AC0">
              <w:rPr>
                <w:noProof/>
                <w:webHidden/>
              </w:rPr>
              <w:fldChar w:fldCharType="separate"/>
            </w:r>
            <w:r>
              <w:rPr>
                <w:noProof/>
                <w:webHidden/>
              </w:rPr>
              <w:t>10</w:t>
            </w:r>
            <w:r w:rsidR="00333AC0">
              <w:rPr>
                <w:noProof/>
                <w:webHidden/>
              </w:rPr>
              <w:fldChar w:fldCharType="end"/>
            </w:r>
          </w:hyperlink>
        </w:p>
        <w:p w14:paraId="20643740"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7" w:history="1">
            <w:r w:rsidR="00333AC0" w:rsidRPr="00DD7193">
              <w:rPr>
                <w:rStyle w:val="Hyperlink"/>
                <w:noProof/>
              </w:rPr>
              <w:t xml:space="preserve">3.3 </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Breeding of GR2E</w:t>
            </w:r>
            <w:r w:rsidR="00333AC0">
              <w:rPr>
                <w:noProof/>
                <w:webHidden/>
              </w:rPr>
              <w:tab/>
            </w:r>
            <w:r w:rsidR="00333AC0">
              <w:rPr>
                <w:noProof/>
                <w:webHidden/>
              </w:rPr>
              <w:fldChar w:fldCharType="begin"/>
            </w:r>
            <w:r w:rsidR="00333AC0">
              <w:rPr>
                <w:noProof/>
                <w:webHidden/>
              </w:rPr>
              <w:instrText xml:space="preserve"> PAGEREF _Toc470008717 \h </w:instrText>
            </w:r>
            <w:r w:rsidR="00333AC0">
              <w:rPr>
                <w:noProof/>
                <w:webHidden/>
              </w:rPr>
            </w:r>
            <w:r w:rsidR="00333AC0">
              <w:rPr>
                <w:noProof/>
                <w:webHidden/>
              </w:rPr>
              <w:fldChar w:fldCharType="separate"/>
            </w:r>
            <w:r>
              <w:rPr>
                <w:noProof/>
                <w:webHidden/>
              </w:rPr>
              <w:t>13</w:t>
            </w:r>
            <w:r w:rsidR="00333AC0">
              <w:rPr>
                <w:noProof/>
                <w:webHidden/>
              </w:rPr>
              <w:fldChar w:fldCharType="end"/>
            </w:r>
          </w:hyperlink>
        </w:p>
        <w:p w14:paraId="20643741"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8" w:history="1">
            <w:r w:rsidR="00333AC0" w:rsidRPr="00DD7193">
              <w:rPr>
                <w:rStyle w:val="Hyperlink"/>
                <w:noProof/>
              </w:rPr>
              <w:t xml:space="preserve">3.4 </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Characterisation of the genetic modification in the plant.</w:t>
            </w:r>
            <w:r w:rsidR="00333AC0">
              <w:rPr>
                <w:noProof/>
                <w:webHidden/>
              </w:rPr>
              <w:tab/>
            </w:r>
            <w:r w:rsidR="00333AC0">
              <w:rPr>
                <w:noProof/>
                <w:webHidden/>
              </w:rPr>
              <w:fldChar w:fldCharType="begin"/>
            </w:r>
            <w:r w:rsidR="00333AC0">
              <w:rPr>
                <w:noProof/>
                <w:webHidden/>
              </w:rPr>
              <w:instrText xml:space="preserve"> PAGEREF _Toc470008718 \h </w:instrText>
            </w:r>
            <w:r w:rsidR="00333AC0">
              <w:rPr>
                <w:noProof/>
                <w:webHidden/>
              </w:rPr>
            </w:r>
            <w:r w:rsidR="00333AC0">
              <w:rPr>
                <w:noProof/>
                <w:webHidden/>
              </w:rPr>
              <w:fldChar w:fldCharType="separate"/>
            </w:r>
            <w:r>
              <w:rPr>
                <w:noProof/>
                <w:webHidden/>
              </w:rPr>
              <w:t>15</w:t>
            </w:r>
            <w:r w:rsidR="00333AC0">
              <w:rPr>
                <w:noProof/>
                <w:webHidden/>
              </w:rPr>
              <w:fldChar w:fldCharType="end"/>
            </w:r>
          </w:hyperlink>
        </w:p>
        <w:p w14:paraId="20643742"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19" w:history="1">
            <w:r w:rsidR="00333AC0" w:rsidRPr="00DD7193">
              <w:rPr>
                <w:rStyle w:val="Hyperlink"/>
                <w:noProof/>
              </w:rPr>
              <w:t>3.5</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Stability of the genetic change in GR2E</w:t>
            </w:r>
            <w:r w:rsidR="00333AC0">
              <w:rPr>
                <w:noProof/>
                <w:webHidden/>
              </w:rPr>
              <w:tab/>
            </w:r>
            <w:r w:rsidR="00333AC0">
              <w:rPr>
                <w:noProof/>
                <w:webHidden/>
              </w:rPr>
              <w:fldChar w:fldCharType="begin"/>
            </w:r>
            <w:r w:rsidR="00333AC0">
              <w:rPr>
                <w:noProof/>
                <w:webHidden/>
              </w:rPr>
              <w:instrText xml:space="preserve"> PAGEREF _Toc470008719 \h </w:instrText>
            </w:r>
            <w:r w:rsidR="00333AC0">
              <w:rPr>
                <w:noProof/>
                <w:webHidden/>
              </w:rPr>
            </w:r>
            <w:r w:rsidR="00333AC0">
              <w:rPr>
                <w:noProof/>
                <w:webHidden/>
              </w:rPr>
              <w:fldChar w:fldCharType="separate"/>
            </w:r>
            <w:r>
              <w:rPr>
                <w:noProof/>
                <w:webHidden/>
              </w:rPr>
              <w:t>17</w:t>
            </w:r>
            <w:r w:rsidR="00333AC0">
              <w:rPr>
                <w:noProof/>
                <w:webHidden/>
              </w:rPr>
              <w:fldChar w:fldCharType="end"/>
            </w:r>
          </w:hyperlink>
        </w:p>
        <w:p w14:paraId="20643743"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0" w:history="1">
            <w:r w:rsidR="00333AC0" w:rsidRPr="00DD7193">
              <w:rPr>
                <w:rStyle w:val="Hyperlink"/>
                <w:noProof/>
              </w:rPr>
              <w:t>3.6</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Antibiotic resistance marker genes</w:t>
            </w:r>
            <w:r w:rsidR="00333AC0">
              <w:rPr>
                <w:noProof/>
                <w:webHidden/>
              </w:rPr>
              <w:tab/>
            </w:r>
            <w:r w:rsidR="00333AC0">
              <w:rPr>
                <w:noProof/>
                <w:webHidden/>
              </w:rPr>
              <w:fldChar w:fldCharType="begin"/>
            </w:r>
            <w:r w:rsidR="00333AC0">
              <w:rPr>
                <w:noProof/>
                <w:webHidden/>
              </w:rPr>
              <w:instrText xml:space="preserve"> PAGEREF _Toc470008720 \h </w:instrText>
            </w:r>
            <w:r w:rsidR="00333AC0">
              <w:rPr>
                <w:noProof/>
                <w:webHidden/>
              </w:rPr>
            </w:r>
            <w:r w:rsidR="00333AC0">
              <w:rPr>
                <w:noProof/>
                <w:webHidden/>
              </w:rPr>
              <w:fldChar w:fldCharType="separate"/>
            </w:r>
            <w:r>
              <w:rPr>
                <w:noProof/>
                <w:webHidden/>
              </w:rPr>
              <w:t>20</w:t>
            </w:r>
            <w:r w:rsidR="00333AC0">
              <w:rPr>
                <w:noProof/>
                <w:webHidden/>
              </w:rPr>
              <w:fldChar w:fldCharType="end"/>
            </w:r>
          </w:hyperlink>
        </w:p>
        <w:p w14:paraId="20643744"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1" w:history="1">
            <w:r w:rsidR="00333AC0" w:rsidRPr="00DD7193">
              <w:rPr>
                <w:rStyle w:val="Hyperlink"/>
                <w:noProof/>
              </w:rPr>
              <w:t>3.7</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Conclusion</w:t>
            </w:r>
            <w:r w:rsidR="00333AC0">
              <w:rPr>
                <w:noProof/>
                <w:webHidden/>
              </w:rPr>
              <w:tab/>
            </w:r>
            <w:r w:rsidR="00333AC0">
              <w:rPr>
                <w:noProof/>
                <w:webHidden/>
              </w:rPr>
              <w:fldChar w:fldCharType="begin"/>
            </w:r>
            <w:r w:rsidR="00333AC0">
              <w:rPr>
                <w:noProof/>
                <w:webHidden/>
              </w:rPr>
              <w:instrText xml:space="preserve"> PAGEREF _Toc470008721 \h </w:instrText>
            </w:r>
            <w:r w:rsidR="00333AC0">
              <w:rPr>
                <w:noProof/>
                <w:webHidden/>
              </w:rPr>
            </w:r>
            <w:r w:rsidR="00333AC0">
              <w:rPr>
                <w:noProof/>
                <w:webHidden/>
              </w:rPr>
              <w:fldChar w:fldCharType="separate"/>
            </w:r>
            <w:r>
              <w:rPr>
                <w:noProof/>
                <w:webHidden/>
              </w:rPr>
              <w:t>20</w:t>
            </w:r>
            <w:r w:rsidR="00333AC0">
              <w:rPr>
                <w:noProof/>
                <w:webHidden/>
              </w:rPr>
              <w:fldChar w:fldCharType="end"/>
            </w:r>
          </w:hyperlink>
        </w:p>
        <w:p w14:paraId="20643745"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22" w:history="1">
            <w:r w:rsidR="00333AC0" w:rsidRPr="00DD7193">
              <w:rPr>
                <w:rStyle w:val="Hyperlink"/>
                <w:noProof/>
              </w:rPr>
              <w:t>4</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Characterisation and safety assessment of new substances</w:t>
            </w:r>
            <w:r w:rsidR="00333AC0">
              <w:rPr>
                <w:noProof/>
                <w:webHidden/>
              </w:rPr>
              <w:tab/>
            </w:r>
            <w:r w:rsidR="00333AC0">
              <w:rPr>
                <w:noProof/>
                <w:webHidden/>
              </w:rPr>
              <w:fldChar w:fldCharType="begin"/>
            </w:r>
            <w:r w:rsidR="00333AC0">
              <w:rPr>
                <w:noProof/>
                <w:webHidden/>
              </w:rPr>
              <w:instrText xml:space="preserve"> PAGEREF _Toc470008722 \h </w:instrText>
            </w:r>
            <w:r w:rsidR="00333AC0">
              <w:rPr>
                <w:noProof/>
                <w:webHidden/>
              </w:rPr>
            </w:r>
            <w:r w:rsidR="00333AC0">
              <w:rPr>
                <w:noProof/>
                <w:webHidden/>
              </w:rPr>
              <w:fldChar w:fldCharType="separate"/>
            </w:r>
            <w:r>
              <w:rPr>
                <w:noProof/>
                <w:webHidden/>
              </w:rPr>
              <w:t>20</w:t>
            </w:r>
            <w:r w:rsidR="00333AC0">
              <w:rPr>
                <w:noProof/>
                <w:webHidden/>
              </w:rPr>
              <w:fldChar w:fldCharType="end"/>
            </w:r>
          </w:hyperlink>
        </w:p>
        <w:p w14:paraId="20643746" w14:textId="77777777" w:rsidR="00333AC0" w:rsidRDefault="00286242">
          <w:pPr>
            <w:pStyle w:val="TOC2"/>
            <w:tabs>
              <w:tab w:val="right" w:leader="dot" w:pos="9060"/>
            </w:tabs>
            <w:rPr>
              <w:rFonts w:asciiTheme="minorHAnsi" w:eastAsiaTheme="minorEastAsia" w:hAnsiTheme="minorHAnsi" w:cstheme="minorBidi"/>
              <w:smallCaps w:val="0"/>
              <w:noProof/>
              <w:szCs w:val="22"/>
              <w:lang w:eastAsia="en-GB" w:bidi="ar-SA"/>
            </w:rPr>
          </w:pPr>
          <w:hyperlink w:anchor="_Toc470008723" w:history="1">
            <w:r w:rsidR="00333AC0" w:rsidRPr="00DD7193">
              <w:rPr>
                <w:rStyle w:val="Hyperlink"/>
                <w:noProof/>
              </w:rPr>
              <w:t>4.1 Newly expressed proteins</w:t>
            </w:r>
            <w:r w:rsidR="00333AC0">
              <w:rPr>
                <w:noProof/>
                <w:webHidden/>
              </w:rPr>
              <w:tab/>
            </w:r>
            <w:r w:rsidR="00333AC0">
              <w:rPr>
                <w:noProof/>
                <w:webHidden/>
              </w:rPr>
              <w:fldChar w:fldCharType="begin"/>
            </w:r>
            <w:r w:rsidR="00333AC0">
              <w:rPr>
                <w:noProof/>
                <w:webHidden/>
              </w:rPr>
              <w:instrText xml:space="preserve"> PAGEREF _Toc470008723 \h </w:instrText>
            </w:r>
            <w:r w:rsidR="00333AC0">
              <w:rPr>
                <w:noProof/>
                <w:webHidden/>
              </w:rPr>
            </w:r>
            <w:r w:rsidR="00333AC0">
              <w:rPr>
                <w:noProof/>
                <w:webHidden/>
              </w:rPr>
              <w:fldChar w:fldCharType="separate"/>
            </w:r>
            <w:r>
              <w:rPr>
                <w:noProof/>
                <w:webHidden/>
              </w:rPr>
              <w:t>20</w:t>
            </w:r>
            <w:r w:rsidR="00333AC0">
              <w:rPr>
                <w:noProof/>
                <w:webHidden/>
              </w:rPr>
              <w:fldChar w:fldCharType="end"/>
            </w:r>
          </w:hyperlink>
        </w:p>
        <w:p w14:paraId="20643747"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4" w:history="1">
            <w:r w:rsidR="00333AC0" w:rsidRPr="00DD7193">
              <w:rPr>
                <w:rStyle w:val="Hyperlink"/>
                <w:noProof/>
              </w:rPr>
              <w:t>4.2</w:t>
            </w:r>
            <w:r w:rsidR="00333AC0">
              <w:rPr>
                <w:rFonts w:asciiTheme="minorHAnsi" w:eastAsiaTheme="minorEastAsia" w:hAnsiTheme="minorHAnsi" w:cstheme="minorBidi"/>
                <w:smallCaps w:val="0"/>
                <w:noProof/>
                <w:szCs w:val="22"/>
                <w:lang w:eastAsia="en-GB" w:bidi="ar-SA"/>
              </w:rPr>
              <w:tab/>
            </w:r>
            <w:r w:rsidR="00333AC0">
              <w:rPr>
                <w:rStyle w:val="Hyperlink"/>
                <w:rFonts w:cs="Arial"/>
                <w:noProof/>
              </w:rPr>
              <w:t>β</w:t>
            </w:r>
            <w:r w:rsidR="00333AC0" w:rsidRPr="00DD7193">
              <w:rPr>
                <w:rStyle w:val="Hyperlink"/>
                <w:noProof/>
              </w:rPr>
              <w:t>-carotene</w:t>
            </w:r>
            <w:r w:rsidR="00333AC0">
              <w:rPr>
                <w:noProof/>
                <w:webHidden/>
              </w:rPr>
              <w:tab/>
            </w:r>
            <w:r w:rsidR="00333AC0">
              <w:rPr>
                <w:noProof/>
                <w:webHidden/>
              </w:rPr>
              <w:fldChar w:fldCharType="begin"/>
            </w:r>
            <w:r w:rsidR="00333AC0">
              <w:rPr>
                <w:noProof/>
                <w:webHidden/>
              </w:rPr>
              <w:instrText xml:space="preserve"> PAGEREF _Toc470008724 \h </w:instrText>
            </w:r>
            <w:r w:rsidR="00333AC0">
              <w:rPr>
                <w:noProof/>
                <w:webHidden/>
              </w:rPr>
            </w:r>
            <w:r w:rsidR="00333AC0">
              <w:rPr>
                <w:noProof/>
                <w:webHidden/>
              </w:rPr>
              <w:fldChar w:fldCharType="separate"/>
            </w:r>
            <w:r>
              <w:rPr>
                <w:noProof/>
                <w:webHidden/>
              </w:rPr>
              <w:t>39</w:t>
            </w:r>
            <w:r w:rsidR="00333AC0">
              <w:rPr>
                <w:noProof/>
                <w:webHidden/>
              </w:rPr>
              <w:fldChar w:fldCharType="end"/>
            </w:r>
          </w:hyperlink>
        </w:p>
        <w:p w14:paraId="20643748"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25" w:history="1">
            <w:r w:rsidR="00333AC0" w:rsidRPr="00DD7193">
              <w:rPr>
                <w:rStyle w:val="Hyperlink"/>
                <w:noProof/>
              </w:rPr>
              <w:t>5</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Compositional analyses</w:t>
            </w:r>
            <w:r w:rsidR="00333AC0">
              <w:rPr>
                <w:noProof/>
                <w:webHidden/>
              </w:rPr>
              <w:tab/>
            </w:r>
            <w:r w:rsidR="00333AC0">
              <w:rPr>
                <w:noProof/>
                <w:webHidden/>
              </w:rPr>
              <w:fldChar w:fldCharType="begin"/>
            </w:r>
            <w:r w:rsidR="00333AC0">
              <w:rPr>
                <w:noProof/>
                <w:webHidden/>
              </w:rPr>
              <w:instrText xml:space="preserve"> PAGEREF _Toc470008725 \h </w:instrText>
            </w:r>
            <w:r w:rsidR="00333AC0">
              <w:rPr>
                <w:noProof/>
                <w:webHidden/>
              </w:rPr>
            </w:r>
            <w:r w:rsidR="00333AC0">
              <w:rPr>
                <w:noProof/>
                <w:webHidden/>
              </w:rPr>
              <w:fldChar w:fldCharType="separate"/>
            </w:r>
            <w:r>
              <w:rPr>
                <w:noProof/>
                <w:webHidden/>
              </w:rPr>
              <w:t>39</w:t>
            </w:r>
            <w:r w:rsidR="00333AC0">
              <w:rPr>
                <w:noProof/>
                <w:webHidden/>
              </w:rPr>
              <w:fldChar w:fldCharType="end"/>
            </w:r>
          </w:hyperlink>
        </w:p>
        <w:p w14:paraId="20643749"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6" w:history="1">
            <w:r w:rsidR="00333AC0" w:rsidRPr="00DD7193">
              <w:rPr>
                <w:rStyle w:val="Hyperlink"/>
                <w:noProof/>
              </w:rPr>
              <w:t>5.1</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Key components</w:t>
            </w:r>
            <w:r w:rsidR="00333AC0">
              <w:rPr>
                <w:noProof/>
                <w:webHidden/>
              </w:rPr>
              <w:tab/>
            </w:r>
            <w:r w:rsidR="00333AC0">
              <w:rPr>
                <w:noProof/>
                <w:webHidden/>
              </w:rPr>
              <w:fldChar w:fldCharType="begin"/>
            </w:r>
            <w:r w:rsidR="00333AC0">
              <w:rPr>
                <w:noProof/>
                <w:webHidden/>
              </w:rPr>
              <w:instrText xml:space="preserve"> PAGEREF _Toc470008726 \h </w:instrText>
            </w:r>
            <w:r w:rsidR="00333AC0">
              <w:rPr>
                <w:noProof/>
                <w:webHidden/>
              </w:rPr>
            </w:r>
            <w:r w:rsidR="00333AC0">
              <w:rPr>
                <w:noProof/>
                <w:webHidden/>
              </w:rPr>
              <w:fldChar w:fldCharType="separate"/>
            </w:r>
            <w:r>
              <w:rPr>
                <w:noProof/>
                <w:webHidden/>
              </w:rPr>
              <w:t>39</w:t>
            </w:r>
            <w:r w:rsidR="00333AC0">
              <w:rPr>
                <w:noProof/>
                <w:webHidden/>
              </w:rPr>
              <w:fldChar w:fldCharType="end"/>
            </w:r>
          </w:hyperlink>
        </w:p>
        <w:p w14:paraId="2064374A"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7" w:history="1">
            <w:r w:rsidR="00333AC0" w:rsidRPr="00DD7193">
              <w:rPr>
                <w:rStyle w:val="Hyperlink"/>
                <w:noProof/>
              </w:rPr>
              <w:t>5.2</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Study design and conduct for key components</w:t>
            </w:r>
            <w:r w:rsidR="00333AC0">
              <w:rPr>
                <w:noProof/>
                <w:webHidden/>
              </w:rPr>
              <w:tab/>
            </w:r>
            <w:r w:rsidR="00333AC0">
              <w:rPr>
                <w:noProof/>
                <w:webHidden/>
              </w:rPr>
              <w:fldChar w:fldCharType="begin"/>
            </w:r>
            <w:r w:rsidR="00333AC0">
              <w:rPr>
                <w:noProof/>
                <w:webHidden/>
              </w:rPr>
              <w:instrText xml:space="preserve"> PAGEREF _Toc470008727 \h </w:instrText>
            </w:r>
            <w:r w:rsidR="00333AC0">
              <w:rPr>
                <w:noProof/>
                <w:webHidden/>
              </w:rPr>
            </w:r>
            <w:r w:rsidR="00333AC0">
              <w:rPr>
                <w:noProof/>
                <w:webHidden/>
              </w:rPr>
              <w:fldChar w:fldCharType="separate"/>
            </w:r>
            <w:r>
              <w:rPr>
                <w:noProof/>
                <w:webHidden/>
              </w:rPr>
              <w:t>40</w:t>
            </w:r>
            <w:r w:rsidR="00333AC0">
              <w:rPr>
                <w:noProof/>
                <w:webHidden/>
              </w:rPr>
              <w:fldChar w:fldCharType="end"/>
            </w:r>
          </w:hyperlink>
        </w:p>
        <w:p w14:paraId="2064374B"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8" w:history="1">
            <w:r w:rsidR="00333AC0" w:rsidRPr="00DD7193">
              <w:rPr>
                <w:rStyle w:val="Hyperlink"/>
                <w:noProof/>
              </w:rPr>
              <w:t>5.3</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Analyses of key components in grain</w:t>
            </w:r>
            <w:r w:rsidR="00333AC0">
              <w:rPr>
                <w:noProof/>
                <w:webHidden/>
              </w:rPr>
              <w:tab/>
            </w:r>
            <w:r w:rsidR="00333AC0">
              <w:rPr>
                <w:noProof/>
                <w:webHidden/>
              </w:rPr>
              <w:fldChar w:fldCharType="begin"/>
            </w:r>
            <w:r w:rsidR="00333AC0">
              <w:rPr>
                <w:noProof/>
                <w:webHidden/>
              </w:rPr>
              <w:instrText xml:space="preserve"> PAGEREF _Toc470008728 \h </w:instrText>
            </w:r>
            <w:r w:rsidR="00333AC0">
              <w:rPr>
                <w:noProof/>
                <w:webHidden/>
              </w:rPr>
            </w:r>
            <w:r w:rsidR="00333AC0">
              <w:rPr>
                <w:noProof/>
                <w:webHidden/>
              </w:rPr>
              <w:fldChar w:fldCharType="separate"/>
            </w:r>
            <w:r>
              <w:rPr>
                <w:noProof/>
                <w:webHidden/>
              </w:rPr>
              <w:t>41</w:t>
            </w:r>
            <w:r w:rsidR="00333AC0">
              <w:rPr>
                <w:noProof/>
                <w:webHidden/>
              </w:rPr>
              <w:fldChar w:fldCharType="end"/>
            </w:r>
          </w:hyperlink>
        </w:p>
        <w:p w14:paraId="2064374C" w14:textId="77777777" w:rsidR="00333AC0" w:rsidRDefault="00286242">
          <w:pPr>
            <w:pStyle w:val="TOC2"/>
            <w:tabs>
              <w:tab w:val="left" w:pos="880"/>
              <w:tab w:val="right" w:leader="dot" w:pos="9060"/>
            </w:tabs>
            <w:rPr>
              <w:rFonts w:asciiTheme="minorHAnsi" w:eastAsiaTheme="minorEastAsia" w:hAnsiTheme="minorHAnsi" w:cstheme="minorBidi"/>
              <w:smallCaps w:val="0"/>
              <w:noProof/>
              <w:szCs w:val="22"/>
              <w:lang w:eastAsia="en-GB" w:bidi="ar-SA"/>
            </w:rPr>
          </w:pPr>
          <w:hyperlink w:anchor="_Toc470008729" w:history="1">
            <w:r w:rsidR="00333AC0" w:rsidRPr="00DD7193">
              <w:rPr>
                <w:rStyle w:val="Hyperlink"/>
                <w:noProof/>
              </w:rPr>
              <w:t xml:space="preserve">5.4 </w:t>
            </w:r>
            <w:r w:rsidR="00333AC0">
              <w:rPr>
                <w:rFonts w:asciiTheme="minorHAnsi" w:eastAsiaTheme="minorEastAsia" w:hAnsiTheme="minorHAnsi" w:cstheme="minorBidi"/>
                <w:smallCaps w:val="0"/>
                <w:noProof/>
                <w:szCs w:val="22"/>
                <w:lang w:eastAsia="en-GB" w:bidi="ar-SA"/>
              </w:rPr>
              <w:tab/>
            </w:r>
            <w:r w:rsidR="00333AC0" w:rsidRPr="00DD7193">
              <w:rPr>
                <w:rStyle w:val="Hyperlink"/>
                <w:noProof/>
              </w:rPr>
              <w:t>Conclusions of the compositional analyses</w:t>
            </w:r>
            <w:r w:rsidR="00333AC0">
              <w:rPr>
                <w:noProof/>
                <w:webHidden/>
              </w:rPr>
              <w:tab/>
            </w:r>
            <w:r w:rsidR="00333AC0">
              <w:rPr>
                <w:noProof/>
                <w:webHidden/>
              </w:rPr>
              <w:fldChar w:fldCharType="begin"/>
            </w:r>
            <w:r w:rsidR="00333AC0">
              <w:rPr>
                <w:noProof/>
                <w:webHidden/>
              </w:rPr>
              <w:instrText xml:space="preserve"> PAGEREF _Toc470008729 \h </w:instrText>
            </w:r>
            <w:r w:rsidR="00333AC0">
              <w:rPr>
                <w:noProof/>
                <w:webHidden/>
              </w:rPr>
            </w:r>
            <w:r w:rsidR="00333AC0">
              <w:rPr>
                <w:noProof/>
                <w:webHidden/>
              </w:rPr>
              <w:fldChar w:fldCharType="separate"/>
            </w:r>
            <w:r>
              <w:rPr>
                <w:noProof/>
                <w:webHidden/>
              </w:rPr>
              <w:t>47</w:t>
            </w:r>
            <w:r w:rsidR="00333AC0">
              <w:rPr>
                <w:noProof/>
                <w:webHidden/>
              </w:rPr>
              <w:fldChar w:fldCharType="end"/>
            </w:r>
          </w:hyperlink>
        </w:p>
        <w:p w14:paraId="2064374D"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30" w:history="1">
            <w:r w:rsidR="00333AC0" w:rsidRPr="00DD7193">
              <w:rPr>
                <w:rStyle w:val="Hyperlink"/>
                <w:noProof/>
              </w:rPr>
              <w:t xml:space="preserve">6 </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Nutritional impact</w:t>
            </w:r>
            <w:r w:rsidR="00333AC0">
              <w:rPr>
                <w:noProof/>
                <w:webHidden/>
              </w:rPr>
              <w:tab/>
            </w:r>
            <w:r w:rsidR="00333AC0">
              <w:rPr>
                <w:noProof/>
                <w:webHidden/>
              </w:rPr>
              <w:fldChar w:fldCharType="begin"/>
            </w:r>
            <w:r w:rsidR="00333AC0">
              <w:rPr>
                <w:noProof/>
                <w:webHidden/>
              </w:rPr>
              <w:instrText xml:space="preserve"> PAGEREF _Toc470008730 \h </w:instrText>
            </w:r>
            <w:r w:rsidR="00333AC0">
              <w:rPr>
                <w:noProof/>
                <w:webHidden/>
              </w:rPr>
            </w:r>
            <w:r w:rsidR="00333AC0">
              <w:rPr>
                <w:noProof/>
                <w:webHidden/>
              </w:rPr>
              <w:fldChar w:fldCharType="separate"/>
            </w:r>
            <w:r>
              <w:rPr>
                <w:noProof/>
                <w:webHidden/>
              </w:rPr>
              <w:t>47</w:t>
            </w:r>
            <w:r w:rsidR="00333AC0">
              <w:rPr>
                <w:noProof/>
                <w:webHidden/>
              </w:rPr>
              <w:fldChar w:fldCharType="end"/>
            </w:r>
          </w:hyperlink>
        </w:p>
        <w:p w14:paraId="2064374E" w14:textId="77777777" w:rsidR="00333AC0" w:rsidRDefault="00286242">
          <w:pPr>
            <w:pStyle w:val="TOC1"/>
            <w:tabs>
              <w:tab w:val="left" w:pos="440"/>
            </w:tabs>
            <w:rPr>
              <w:rFonts w:asciiTheme="minorHAnsi" w:eastAsiaTheme="minorEastAsia" w:hAnsiTheme="minorHAnsi" w:cstheme="minorBidi"/>
              <w:b w:val="0"/>
              <w:bCs w:val="0"/>
              <w:caps w:val="0"/>
              <w:noProof/>
              <w:szCs w:val="22"/>
              <w:lang w:eastAsia="en-GB" w:bidi="ar-SA"/>
            </w:rPr>
          </w:pPr>
          <w:hyperlink w:anchor="_Toc470008731" w:history="1">
            <w:r w:rsidR="00333AC0" w:rsidRPr="00DD7193">
              <w:rPr>
                <w:rStyle w:val="Hyperlink"/>
                <w:noProof/>
              </w:rPr>
              <w:t>7</w:t>
            </w:r>
            <w:r w:rsidR="00333AC0">
              <w:rPr>
                <w:rFonts w:asciiTheme="minorHAnsi" w:eastAsiaTheme="minorEastAsia" w:hAnsiTheme="minorHAnsi" w:cstheme="minorBidi"/>
                <w:b w:val="0"/>
                <w:bCs w:val="0"/>
                <w:caps w:val="0"/>
                <w:noProof/>
                <w:szCs w:val="22"/>
                <w:lang w:eastAsia="en-GB" w:bidi="ar-SA"/>
              </w:rPr>
              <w:tab/>
            </w:r>
            <w:r w:rsidR="00333AC0" w:rsidRPr="00DD7193">
              <w:rPr>
                <w:rStyle w:val="Hyperlink"/>
                <w:noProof/>
              </w:rPr>
              <w:t>References</w:t>
            </w:r>
            <w:r w:rsidR="00333AC0">
              <w:rPr>
                <w:noProof/>
                <w:webHidden/>
              </w:rPr>
              <w:tab/>
            </w:r>
            <w:r w:rsidR="00333AC0">
              <w:rPr>
                <w:noProof/>
                <w:webHidden/>
              </w:rPr>
              <w:fldChar w:fldCharType="begin"/>
            </w:r>
            <w:r w:rsidR="00333AC0">
              <w:rPr>
                <w:noProof/>
                <w:webHidden/>
              </w:rPr>
              <w:instrText xml:space="preserve"> PAGEREF _Toc470008731 \h </w:instrText>
            </w:r>
            <w:r w:rsidR="00333AC0">
              <w:rPr>
                <w:noProof/>
                <w:webHidden/>
              </w:rPr>
            </w:r>
            <w:r w:rsidR="00333AC0">
              <w:rPr>
                <w:noProof/>
                <w:webHidden/>
              </w:rPr>
              <w:fldChar w:fldCharType="separate"/>
            </w:r>
            <w:r>
              <w:rPr>
                <w:noProof/>
                <w:webHidden/>
              </w:rPr>
              <w:t>47</w:t>
            </w:r>
            <w:r w:rsidR="00333AC0">
              <w:rPr>
                <w:noProof/>
                <w:webHidden/>
              </w:rPr>
              <w:fldChar w:fldCharType="end"/>
            </w:r>
          </w:hyperlink>
        </w:p>
        <w:p w14:paraId="2064374F" w14:textId="77777777" w:rsidR="00333AC0" w:rsidRPr="006607C4" w:rsidRDefault="00333AC0" w:rsidP="00011A05">
          <w:pPr>
            <w:pStyle w:val="TOC1"/>
            <w:rPr>
              <w:color w:val="000000" w:themeColor="text1"/>
            </w:rPr>
          </w:pPr>
          <w:r w:rsidRPr="006607C4">
            <w:rPr>
              <w:rFonts w:asciiTheme="minorHAnsi" w:hAnsiTheme="minorHAnsi"/>
              <w:color w:val="000000" w:themeColor="text1"/>
              <w:sz w:val="20"/>
            </w:rPr>
            <w:fldChar w:fldCharType="end"/>
          </w:r>
        </w:p>
      </w:sdtContent>
    </w:sdt>
    <w:p w14:paraId="20643750" w14:textId="77777777" w:rsidR="00333AC0" w:rsidRPr="006607C4" w:rsidRDefault="00333AC0">
      <w:pPr>
        <w:widowControl/>
        <w:rPr>
          <w:b/>
          <w:bCs/>
          <w:color w:val="000000" w:themeColor="text1"/>
          <w:sz w:val="36"/>
          <w:szCs w:val="36"/>
          <w:lang w:bidi="ar-SA"/>
        </w:rPr>
      </w:pPr>
      <w:r w:rsidRPr="006607C4">
        <w:rPr>
          <w:color w:val="000000" w:themeColor="text1"/>
          <w:szCs w:val="36"/>
        </w:rPr>
        <w:br w:type="page"/>
      </w:r>
    </w:p>
    <w:p w14:paraId="20643751" w14:textId="77777777" w:rsidR="00333AC0" w:rsidRPr="008E15A9" w:rsidRDefault="00333AC0" w:rsidP="00011A05">
      <w:pPr>
        <w:pStyle w:val="Heading1"/>
        <w:ind w:left="720" w:hanging="720"/>
        <w:jc w:val="both"/>
        <w:rPr>
          <w:color w:val="000000" w:themeColor="text1"/>
          <w:sz w:val="28"/>
        </w:rPr>
      </w:pPr>
      <w:bookmarkStart w:id="10" w:name="_Toc470008707"/>
      <w:r w:rsidRPr="008E15A9">
        <w:rPr>
          <w:color w:val="000000" w:themeColor="text1"/>
          <w:sz w:val="28"/>
        </w:rPr>
        <w:t>List of Figures</w:t>
      </w:r>
      <w:bookmarkEnd w:id="10"/>
    </w:p>
    <w:p w14:paraId="20643752" w14:textId="77777777" w:rsidR="00333AC0" w:rsidRDefault="00333AC0"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r w:rsidRPr="008E15A9">
        <w:rPr>
          <w:color w:val="000000" w:themeColor="text1"/>
        </w:rPr>
        <w:fldChar w:fldCharType="begin"/>
      </w:r>
      <w:r w:rsidRPr="008E15A9">
        <w:rPr>
          <w:color w:val="000000" w:themeColor="text1"/>
        </w:rPr>
        <w:instrText xml:space="preserve"> TOC \h \z \c "Figure" </w:instrText>
      </w:r>
      <w:r w:rsidRPr="008E15A9">
        <w:rPr>
          <w:color w:val="000000" w:themeColor="text1"/>
        </w:rPr>
        <w:fldChar w:fldCharType="separate"/>
      </w:r>
      <w:hyperlink w:anchor="_Toc470008740" w:history="1">
        <w:r w:rsidRPr="00BA1B31">
          <w:rPr>
            <w:rStyle w:val="Hyperlink"/>
            <w:rFonts w:eastAsiaTheme="majorEastAsia"/>
            <w:noProof/>
          </w:rPr>
          <w:t>Figure 1: Genes and regulatory elements contained in plasmid pSYN12424</w:t>
        </w:r>
        <w:r>
          <w:rPr>
            <w:noProof/>
            <w:webHidden/>
          </w:rPr>
          <w:tab/>
        </w:r>
        <w:r>
          <w:rPr>
            <w:noProof/>
            <w:webHidden/>
          </w:rPr>
          <w:fldChar w:fldCharType="begin"/>
        </w:r>
        <w:r>
          <w:rPr>
            <w:noProof/>
            <w:webHidden/>
          </w:rPr>
          <w:instrText xml:space="preserve"> PAGEREF _Toc470008740 \h </w:instrText>
        </w:r>
        <w:r>
          <w:rPr>
            <w:noProof/>
            <w:webHidden/>
          </w:rPr>
        </w:r>
        <w:r>
          <w:rPr>
            <w:noProof/>
            <w:webHidden/>
          </w:rPr>
          <w:fldChar w:fldCharType="separate"/>
        </w:r>
        <w:r w:rsidR="00286242">
          <w:rPr>
            <w:noProof/>
            <w:webHidden/>
          </w:rPr>
          <w:t>10</w:t>
        </w:r>
        <w:r>
          <w:rPr>
            <w:noProof/>
            <w:webHidden/>
          </w:rPr>
          <w:fldChar w:fldCharType="end"/>
        </w:r>
      </w:hyperlink>
    </w:p>
    <w:p w14:paraId="20643753"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1" w:history="1">
        <w:r w:rsidR="00333AC0" w:rsidRPr="00BA1B31">
          <w:rPr>
            <w:rStyle w:val="Hyperlink"/>
            <w:rFonts w:eastAsiaTheme="majorEastAsia"/>
            <w:noProof/>
          </w:rPr>
          <w:t>Figure 2: Design of pSYN12424 T-DNA region.</w:t>
        </w:r>
        <w:r w:rsidR="00333AC0">
          <w:rPr>
            <w:noProof/>
            <w:webHidden/>
          </w:rPr>
          <w:tab/>
        </w:r>
        <w:r w:rsidR="00333AC0">
          <w:rPr>
            <w:noProof/>
            <w:webHidden/>
          </w:rPr>
          <w:fldChar w:fldCharType="begin"/>
        </w:r>
        <w:r w:rsidR="00333AC0">
          <w:rPr>
            <w:noProof/>
            <w:webHidden/>
          </w:rPr>
          <w:instrText xml:space="preserve"> PAGEREF _Toc470008741 \h </w:instrText>
        </w:r>
        <w:r w:rsidR="00333AC0">
          <w:rPr>
            <w:noProof/>
            <w:webHidden/>
          </w:rPr>
        </w:r>
        <w:r w:rsidR="00333AC0">
          <w:rPr>
            <w:noProof/>
            <w:webHidden/>
          </w:rPr>
          <w:fldChar w:fldCharType="separate"/>
        </w:r>
        <w:r>
          <w:rPr>
            <w:noProof/>
            <w:webHidden/>
          </w:rPr>
          <w:t>10</w:t>
        </w:r>
        <w:r w:rsidR="00333AC0">
          <w:rPr>
            <w:noProof/>
            <w:webHidden/>
          </w:rPr>
          <w:fldChar w:fldCharType="end"/>
        </w:r>
      </w:hyperlink>
    </w:p>
    <w:p w14:paraId="20643754"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2" w:history="1">
        <w:r w:rsidR="00333AC0" w:rsidRPr="00BA1B31">
          <w:rPr>
            <w:rStyle w:val="Hyperlink"/>
            <w:rFonts w:eastAsiaTheme="majorEastAsia"/>
            <w:noProof/>
          </w:rPr>
          <w:t>Figure 3: Breeding diagram for GR2E rice</w:t>
        </w:r>
        <w:r w:rsidR="00333AC0">
          <w:rPr>
            <w:noProof/>
            <w:webHidden/>
          </w:rPr>
          <w:tab/>
        </w:r>
        <w:r w:rsidR="00333AC0">
          <w:rPr>
            <w:noProof/>
            <w:webHidden/>
          </w:rPr>
          <w:fldChar w:fldCharType="begin"/>
        </w:r>
        <w:r w:rsidR="00333AC0">
          <w:rPr>
            <w:noProof/>
            <w:webHidden/>
          </w:rPr>
          <w:instrText xml:space="preserve"> PAGEREF _Toc470008742 \h </w:instrText>
        </w:r>
        <w:r w:rsidR="00333AC0">
          <w:rPr>
            <w:noProof/>
            <w:webHidden/>
          </w:rPr>
        </w:r>
        <w:r w:rsidR="00333AC0">
          <w:rPr>
            <w:noProof/>
            <w:webHidden/>
          </w:rPr>
          <w:fldChar w:fldCharType="separate"/>
        </w:r>
        <w:r>
          <w:rPr>
            <w:noProof/>
            <w:webHidden/>
          </w:rPr>
          <w:t>14</w:t>
        </w:r>
        <w:r w:rsidR="00333AC0">
          <w:rPr>
            <w:noProof/>
            <w:webHidden/>
          </w:rPr>
          <w:fldChar w:fldCharType="end"/>
        </w:r>
      </w:hyperlink>
    </w:p>
    <w:p w14:paraId="20643755"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3" w:history="1">
        <w:r w:rsidR="00333AC0" w:rsidRPr="00BA1B31">
          <w:rPr>
            <w:rStyle w:val="Hyperlink"/>
            <w:rFonts w:eastAsiaTheme="majorEastAsia"/>
            <w:noProof/>
          </w:rPr>
          <w:t>Figure 4: Representation of the map position of the T-DNA insert in the Kaybonnet genome</w:t>
        </w:r>
        <w:r w:rsidR="00333AC0">
          <w:rPr>
            <w:noProof/>
            <w:webHidden/>
          </w:rPr>
          <w:tab/>
        </w:r>
        <w:r w:rsidR="00333AC0">
          <w:rPr>
            <w:noProof/>
            <w:webHidden/>
          </w:rPr>
          <w:fldChar w:fldCharType="begin"/>
        </w:r>
        <w:r w:rsidR="00333AC0">
          <w:rPr>
            <w:noProof/>
            <w:webHidden/>
          </w:rPr>
          <w:instrText xml:space="preserve"> PAGEREF _Toc470008743 \h </w:instrText>
        </w:r>
        <w:r w:rsidR="00333AC0">
          <w:rPr>
            <w:noProof/>
            <w:webHidden/>
          </w:rPr>
        </w:r>
        <w:r w:rsidR="00333AC0">
          <w:rPr>
            <w:noProof/>
            <w:webHidden/>
          </w:rPr>
          <w:fldChar w:fldCharType="separate"/>
        </w:r>
        <w:r>
          <w:rPr>
            <w:noProof/>
            <w:webHidden/>
          </w:rPr>
          <w:t>17</w:t>
        </w:r>
        <w:r w:rsidR="00333AC0">
          <w:rPr>
            <w:noProof/>
            <w:webHidden/>
          </w:rPr>
          <w:fldChar w:fldCharType="end"/>
        </w:r>
      </w:hyperlink>
    </w:p>
    <w:p w14:paraId="20643756"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4" w:history="1">
        <w:r w:rsidR="00333AC0" w:rsidRPr="00BA1B31">
          <w:rPr>
            <w:rStyle w:val="Hyperlink"/>
            <w:rFonts w:eastAsiaTheme="majorEastAsia"/>
            <w:noProof/>
          </w:rPr>
          <w:t>Figure 5: Representation of location of primers for multiplex PCR analysis and the three outcomes that could be obtained</w:t>
        </w:r>
        <w:r w:rsidR="00333AC0">
          <w:rPr>
            <w:noProof/>
            <w:webHidden/>
          </w:rPr>
          <w:tab/>
        </w:r>
        <w:r w:rsidR="00333AC0">
          <w:rPr>
            <w:noProof/>
            <w:webHidden/>
          </w:rPr>
          <w:fldChar w:fldCharType="begin"/>
        </w:r>
        <w:r w:rsidR="00333AC0">
          <w:rPr>
            <w:noProof/>
            <w:webHidden/>
          </w:rPr>
          <w:instrText xml:space="preserve"> PAGEREF _Toc470008744 \h </w:instrText>
        </w:r>
        <w:r w:rsidR="00333AC0">
          <w:rPr>
            <w:noProof/>
            <w:webHidden/>
          </w:rPr>
        </w:r>
        <w:r w:rsidR="00333AC0">
          <w:rPr>
            <w:noProof/>
            <w:webHidden/>
          </w:rPr>
          <w:fldChar w:fldCharType="separate"/>
        </w:r>
        <w:r>
          <w:rPr>
            <w:noProof/>
            <w:webHidden/>
          </w:rPr>
          <w:t>19</w:t>
        </w:r>
        <w:r w:rsidR="00333AC0">
          <w:rPr>
            <w:noProof/>
            <w:webHidden/>
          </w:rPr>
          <w:fldChar w:fldCharType="end"/>
        </w:r>
      </w:hyperlink>
    </w:p>
    <w:p w14:paraId="20643757"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5" w:history="1">
        <w:r w:rsidR="00333AC0" w:rsidRPr="00BA1B31">
          <w:rPr>
            <w:rStyle w:val="Hyperlink"/>
            <w:rFonts w:eastAsiaTheme="majorEastAsia"/>
            <w:noProof/>
          </w:rPr>
          <w:t>Figure 6: the β-carotene biosynthetic pathway</w:t>
        </w:r>
        <w:r w:rsidR="00333AC0">
          <w:rPr>
            <w:noProof/>
            <w:webHidden/>
          </w:rPr>
          <w:tab/>
        </w:r>
        <w:r w:rsidR="00333AC0">
          <w:rPr>
            <w:noProof/>
            <w:webHidden/>
          </w:rPr>
          <w:fldChar w:fldCharType="begin"/>
        </w:r>
        <w:r w:rsidR="00333AC0">
          <w:rPr>
            <w:noProof/>
            <w:webHidden/>
          </w:rPr>
          <w:instrText xml:space="preserve"> PAGEREF _Toc470008745 \h </w:instrText>
        </w:r>
        <w:r w:rsidR="00333AC0">
          <w:rPr>
            <w:noProof/>
            <w:webHidden/>
          </w:rPr>
        </w:r>
        <w:r w:rsidR="00333AC0">
          <w:rPr>
            <w:noProof/>
            <w:webHidden/>
          </w:rPr>
          <w:fldChar w:fldCharType="separate"/>
        </w:r>
        <w:r>
          <w:rPr>
            <w:noProof/>
            <w:webHidden/>
          </w:rPr>
          <w:t>21</w:t>
        </w:r>
        <w:r w:rsidR="00333AC0">
          <w:rPr>
            <w:noProof/>
            <w:webHidden/>
          </w:rPr>
          <w:fldChar w:fldCharType="end"/>
        </w:r>
      </w:hyperlink>
    </w:p>
    <w:p w14:paraId="20643758"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6" w:history="1">
        <w:r w:rsidR="00333AC0" w:rsidRPr="00BA1B31">
          <w:rPr>
            <w:rStyle w:val="Hyperlink"/>
            <w:rFonts w:eastAsiaTheme="majorEastAsia"/>
            <w:noProof/>
          </w:rPr>
          <w:t>Figure 7: deduced amino acid sequence for the ZmPSY1 protein</w:t>
        </w:r>
        <w:r w:rsidR="00333AC0">
          <w:rPr>
            <w:noProof/>
            <w:webHidden/>
          </w:rPr>
          <w:tab/>
        </w:r>
        <w:r w:rsidR="00333AC0">
          <w:rPr>
            <w:noProof/>
            <w:webHidden/>
          </w:rPr>
          <w:fldChar w:fldCharType="begin"/>
        </w:r>
        <w:r w:rsidR="00333AC0">
          <w:rPr>
            <w:noProof/>
            <w:webHidden/>
          </w:rPr>
          <w:instrText xml:space="preserve"> PAGEREF _Toc470008746 \h </w:instrText>
        </w:r>
        <w:r w:rsidR="00333AC0">
          <w:rPr>
            <w:noProof/>
            <w:webHidden/>
          </w:rPr>
        </w:r>
        <w:r w:rsidR="00333AC0">
          <w:rPr>
            <w:noProof/>
            <w:webHidden/>
          </w:rPr>
          <w:fldChar w:fldCharType="separate"/>
        </w:r>
        <w:r>
          <w:rPr>
            <w:noProof/>
            <w:webHidden/>
          </w:rPr>
          <w:t>22</w:t>
        </w:r>
        <w:r w:rsidR="00333AC0">
          <w:rPr>
            <w:noProof/>
            <w:webHidden/>
          </w:rPr>
          <w:fldChar w:fldCharType="end"/>
        </w:r>
      </w:hyperlink>
    </w:p>
    <w:p w14:paraId="20643759"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7" w:history="1">
        <w:r w:rsidR="00333AC0" w:rsidRPr="00BA1B31">
          <w:rPr>
            <w:rStyle w:val="Hyperlink"/>
            <w:rFonts w:eastAsiaTheme="majorEastAsia"/>
            <w:noProof/>
          </w:rPr>
          <w:t>Figure 8: Deduced amino acid sequence of the CRTI protein</w:t>
        </w:r>
        <w:r w:rsidR="00333AC0">
          <w:rPr>
            <w:noProof/>
            <w:webHidden/>
          </w:rPr>
          <w:tab/>
        </w:r>
        <w:r w:rsidR="00333AC0">
          <w:rPr>
            <w:noProof/>
            <w:webHidden/>
          </w:rPr>
          <w:fldChar w:fldCharType="begin"/>
        </w:r>
        <w:r w:rsidR="00333AC0">
          <w:rPr>
            <w:noProof/>
            <w:webHidden/>
          </w:rPr>
          <w:instrText xml:space="preserve"> PAGEREF _Toc470008747 \h </w:instrText>
        </w:r>
        <w:r w:rsidR="00333AC0">
          <w:rPr>
            <w:noProof/>
            <w:webHidden/>
          </w:rPr>
        </w:r>
        <w:r w:rsidR="00333AC0">
          <w:rPr>
            <w:noProof/>
            <w:webHidden/>
          </w:rPr>
          <w:fldChar w:fldCharType="separate"/>
        </w:r>
        <w:r>
          <w:rPr>
            <w:noProof/>
            <w:webHidden/>
          </w:rPr>
          <w:t>22</w:t>
        </w:r>
        <w:r w:rsidR="00333AC0">
          <w:rPr>
            <w:noProof/>
            <w:webHidden/>
          </w:rPr>
          <w:fldChar w:fldCharType="end"/>
        </w:r>
      </w:hyperlink>
    </w:p>
    <w:p w14:paraId="2064375A"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8" w:history="1">
        <w:r w:rsidR="00333AC0" w:rsidRPr="00BA1B31">
          <w:rPr>
            <w:rStyle w:val="Hyperlink"/>
            <w:rFonts w:eastAsiaTheme="majorEastAsia"/>
            <w:noProof/>
          </w:rPr>
          <w:t>Figure 9: Actual amino acid sequence of the PMI protein expressed in GR2E</w:t>
        </w:r>
        <w:r w:rsidR="00333AC0">
          <w:rPr>
            <w:noProof/>
            <w:webHidden/>
          </w:rPr>
          <w:tab/>
        </w:r>
        <w:r w:rsidR="00333AC0">
          <w:rPr>
            <w:noProof/>
            <w:webHidden/>
          </w:rPr>
          <w:fldChar w:fldCharType="begin"/>
        </w:r>
        <w:r w:rsidR="00333AC0">
          <w:rPr>
            <w:noProof/>
            <w:webHidden/>
          </w:rPr>
          <w:instrText xml:space="preserve"> PAGEREF _Toc470008748 \h </w:instrText>
        </w:r>
        <w:r w:rsidR="00333AC0">
          <w:rPr>
            <w:noProof/>
            <w:webHidden/>
          </w:rPr>
        </w:r>
        <w:r w:rsidR="00333AC0">
          <w:rPr>
            <w:noProof/>
            <w:webHidden/>
          </w:rPr>
          <w:fldChar w:fldCharType="separate"/>
        </w:r>
        <w:r>
          <w:rPr>
            <w:noProof/>
            <w:webHidden/>
          </w:rPr>
          <w:t>23</w:t>
        </w:r>
        <w:r w:rsidR="00333AC0">
          <w:rPr>
            <w:noProof/>
            <w:webHidden/>
          </w:rPr>
          <w:fldChar w:fldCharType="end"/>
        </w:r>
      </w:hyperlink>
    </w:p>
    <w:p w14:paraId="2064375B"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49" w:history="1">
        <w:r w:rsidR="00333AC0" w:rsidRPr="00BA1B31">
          <w:rPr>
            <w:rStyle w:val="Hyperlink"/>
            <w:rFonts w:eastAsiaTheme="majorEastAsia"/>
            <w:noProof/>
          </w:rPr>
          <w:t>Figure 10: GR2E growing locations for protein expression and compositional analyses</w:t>
        </w:r>
        <w:r w:rsidR="00333AC0">
          <w:rPr>
            <w:noProof/>
            <w:webHidden/>
          </w:rPr>
          <w:tab/>
        </w:r>
        <w:r w:rsidR="00333AC0">
          <w:rPr>
            <w:noProof/>
            <w:webHidden/>
          </w:rPr>
          <w:fldChar w:fldCharType="begin"/>
        </w:r>
        <w:r w:rsidR="00333AC0">
          <w:rPr>
            <w:noProof/>
            <w:webHidden/>
          </w:rPr>
          <w:instrText xml:space="preserve"> PAGEREF _Toc470008749 \h </w:instrText>
        </w:r>
        <w:r w:rsidR="00333AC0">
          <w:rPr>
            <w:noProof/>
            <w:webHidden/>
          </w:rPr>
        </w:r>
        <w:r w:rsidR="00333AC0">
          <w:rPr>
            <w:noProof/>
            <w:webHidden/>
          </w:rPr>
          <w:fldChar w:fldCharType="separate"/>
        </w:r>
        <w:r>
          <w:rPr>
            <w:noProof/>
            <w:webHidden/>
          </w:rPr>
          <w:t>25</w:t>
        </w:r>
        <w:r w:rsidR="00333AC0">
          <w:rPr>
            <w:noProof/>
            <w:webHidden/>
          </w:rPr>
          <w:fldChar w:fldCharType="end"/>
        </w:r>
      </w:hyperlink>
    </w:p>
    <w:p w14:paraId="2064375C" w14:textId="77777777" w:rsidR="00333AC0" w:rsidRDefault="00286242" w:rsidP="00011A05">
      <w:pPr>
        <w:pStyle w:val="TableofFigures"/>
        <w:tabs>
          <w:tab w:val="right" w:leader="dot" w:pos="9060"/>
        </w:tabs>
        <w:spacing w:before="120" w:after="120"/>
        <w:ind w:left="993" w:hanging="993"/>
        <w:rPr>
          <w:rFonts w:asciiTheme="minorHAnsi" w:eastAsiaTheme="minorEastAsia" w:hAnsiTheme="minorHAnsi" w:cstheme="minorBidi"/>
          <w:noProof/>
          <w:szCs w:val="22"/>
          <w:lang w:eastAsia="en-GB" w:bidi="ar-SA"/>
        </w:rPr>
      </w:pPr>
      <w:hyperlink w:anchor="_Toc470008750" w:history="1">
        <w:r w:rsidR="00333AC0" w:rsidRPr="00BA1B31">
          <w:rPr>
            <w:rStyle w:val="Hyperlink"/>
            <w:rFonts w:eastAsiaTheme="majorEastAsia"/>
            <w:noProof/>
          </w:rPr>
          <w:t>Figure 11: The phytoene biosynthetic pathway</w:t>
        </w:r>
        <w:r w:rsidR="00333AC0">
          <w:rPr>
            <w:noProof/>
            <w:webHidden/>
          </w:rPr>
          <w:tab/>
        </w:r>
        <w:r w:rsidR="00333AC0">
          <w:rPr>
            <w:noProof/>
            <w:webHidden/>
          </w:rPr>
          <w:fldChar w:fldCharType="begin"/>
        </w:r>
        <w:r w:rsidR="00333AC0">
          <w:rPr>
            <w:noProof/>
            <w:webHidden/>
          </w:rPr>
          <w:instrText xml:space="preserve"> PAGEREF _Toc470008750 \h </w:instrText>
        </w:r>
        <w:r w:rsidR="00333AC0">
          <w:rPr>
            <w:noProof/>
            <w:webHidden/>
          </w:rPr>
        </w:r>
        <w:r w:rsidR="00333AC0">
          <w:rPr>
            <w:noProof/>
            <w:webHidden/>
          </w:rPr>
          <w:fldChar w:fldCharType="separate"/>
        </w:r>
        <w:r>
          <w:rPr>
            <w:noProof/>
            <w:webHidden/>
          </w:rPr>
          <w:t>30</w:t>
        </w:r>
        <w:r w:rsidR="00333AC0">
          <w:rPr>
            <w:noProof/>
            <w:webHidden/>
          </w:rPr>
          <w:fldChar w:fldCharType="end"/>
        </w:r>
      </w:hyperlink>
    </w:p>
    <w:p w14:paraId="2064375D" w14:textId="77777777" w:rsidR="00333AC0" w:rsidRPr="008E15A9" w:rsidRDefault="00333AC0" w:rsidP="00011A05">
      <w:pPr>
        <w:spacing w:before="120" w:after="120"/>
        <w:ind w:left="993" w:hanging="993"/>
        <w:rPr>
          <w:color w:val="000000" w:themeColor="text1"/>
        </w:rPr>
      </w:pPr>
      <w:r w:rsidRPr="008E15A9">
        <w:rPr>
          <w:color w:val="000000" w:themeColor="text1"/>
        </w:rPr>
        <w:fldChar w:fldCharType="end"/>
      </w:r>
    </w:p>
    <w:p w14:paraId="2064375E" w14:textId="77777777" w:rsidR="00333AC0" w:rsidRPr="008E15A9" w:rsidRDefault="00333AC0" w:rsidP="00011A05">
      <w:pPr>
        <w:pStyle w:val="Heading1"/>
        <w:ind w:left="720" w:hanging="720"/>
        <w:jc w:val="both"/>
        <w:rPr>
          <w:color w:val="000000" w:themeColor="text1"/>
          <w:sz w:val="28"/>
        </w:rPr>
      </w:pPr>
      <w:bookmarkStart w:id="11" w:name="_Toc470008708"/>
      <w:r w:rsidRPr="008E15A9">
        <w:rPr>
          <w:color w:val="000000" w:themeColor="text1"/>
          <w:sz w:val="28"/>
        </w:rPr>
        <w:t>List of Tables</w:t>
      </w:r>
      <w:bookmarkEnd w:id="11"/>
    </w:p>
    <w:p w14:paraId="2064375F" w14:textId="77777777" w:rsidR="00333AC0" w:rsidRDefault="00333AC0"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r w:rsidRPr="008E15A9">
        <w:rPr>
          <w:color w:val="000000" w:themeColor="text1"/>
        </w:rPr>
        <w:fldChar w:fldCharType="begin"/>
      </w:r>
      <w:r w:rsidRPr="008E15A9">
        <w:rPr>
          <w:color w:val="000000" w:themeColor="text1"/>
        </w:rPr>
        <w:instrText xml:space="preserve"> TOC \f F \h \z \c "Table" </w:instrText>
      </w:r>
      <w:r w:rsidRPr="008E15A9">
        <w:rPr>
          <w:color w:val="000000" w:themeColor="text1"/>
        </w:rPr>
        <w:fldChar w:fldCharType="separate"/>
      </w:r>
      <w:hyperlink w:anchor="_Toc487212000" w:history="1">
        <w:r w:rsidRPr="003A062B">
          <w:rPr>
            <w:rStyle w:val="Hyperlink"/>
            <w:rFonts w:eastAsiaTheme="majorEastAsia"/>
            <w:noProof/>
          </w:rPr>
          <w:t>Table 1: Description of the genetic elements contained in the T-DNA of pSYN12424</w:t>
        </w:r>
        <w:r>
          <w:rPr>
            <w:noProof/>
            <w:webHidden/>
          </w:rPr>
          <w:tab/>
        </w:r>
        <w:r>
          <w:rPr>
            <w:noProof/>
            <w:webHidden/>
          </w:rPr>
          <w:fldChar w:fldCharType="begin"/>
        </w:r>
        <w:r>
          <w:rPr>
            <w:noProof/>
            <w:webHidden/>
          </w:rPr>
          <w:instrText xml:space="preserve"> PAGEREF _Toc487212000 \h </w:instrText>
        </w:r>
        <w:r>
          <w:rPr>
            <w:noProof/>
            <w:webHidden/>
          </w:rPr>
        </w:r>
        <w:r>
          <w:rPr>
            <w:noProof/>
            <w:webHidden/>
          </w:rPr>
          <w:fldChar w:fldCharType="separate"/>
        </w:r>
        <w:r w:rsidR="00286242">
          <w:rPr>
            <w:noProof/>
            <w:webHidden/>
          </w:rPr>
          <w:t>11</w:t>
        </w:r>
        <w:r>
          <w:rPr>
            <w:noProof/>
            <w:webHidden/>
          </w:rPr>
          <w:fldChar w:fldCharType="end"/>
        </w:r>
      </w:hyperlink>
    </w:p>
    <w:p w14:paraId="20643760"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1" w:history="1">
        <w:r w:rsidR="00333AC0" w:rsidRPr="003A062B">
          <w:rPr>
            <w:rStyle w:val="Hyperlink"/>
            <w:rFonts w:eastAsiaTheme="majorEastAsia"/>
            <w:noProof/>
          </w:rPr>
          <w:t>Table 2: GR2E generations used for various analyses</w:t>
        </w:r>
        <w:r w:rsidR="00333AC0">
          <w:rPr>
            <w:noProof/>
            <w:webHidden/>
          </w:rPr>
          <w:tab/>
        </w:r>
        <w:r w:rsidR="00333AC0">
          <w:rPr>
            <w:noProof/>
            <w:webHidden/>
          </w:rPr>
          <w:fldChar w:fldCharType="begin"/>
        </w:r>
        <w:r w:rsidR="00333AC0">
          <w:rPr>
            <w:noProof/>
            <w:webHidden/>
          </w:rPr>
          <w:instrText xml:space="preserve"> PAGEREF _Toc487212001 \h </w:instrText>
        </w:r>
        <w:r w:rsidR="00333AC0">
          <w:rPr>
            <w:noProof/>
            <w:webHidden/>
          </w:rPr>
        </w:r>
        <w:r w:rsidR="00333AC0">
          <w:rPr>
            <w:noProof/>
            <w:webHidden/>
          </w:rPr>
          <w:fldChar w:fldCharType="separate"/>
        </w:r>
        <w:r>
          <w:rPr>
            <w:noProof/>
            <w:webHidden/>
          </w:rPr>
          <w:t>13</w:t>
        </w:r>
        <w:r w:rsidR="00333AC0">
          <w:rPr>
            <w:noProof/>
            <w:webHidden/>
          </w:rPr>
          <w:fldChar w:fldCharType="end"/>
        </w:r>
      </w:hyperlink>
    </w:p>
    <w:p w14:paraId="20643761"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2" w:history="1">
        <w:r w:rsidR="00333AC0" w:rsidRPr="003A062B">
          <w:rPr>
            <w:rStyle w:val="Hyperlink"/>
            <w:rFonts w:eastAsiaTheme="majorEastAsia"/>
            <w:noProof/>
          </w:rPr>
          <w:t>Table 3: Concentrations of total carotenoids in different generations and germplasm backgrounds of GR2E</w:t>
        </w:r>
        <w:r w:rsidR="00333AC0">
          <w:rPr>
            <w:noProof/>
            <w:webHidden/>
          </w:rPr>
          <w:tab/>
        </w:r>
        <w:r w:rsidR="00333AC0">
          <w:rPr>
            <w:noProof/>
            <w:webHidden/>
          </w:rPr>
          <w:fldChar w:fldCharType="begin"/>
        </w:r>
        <w:r w:rsidR="00333AC0">
          <w:rPr>
            <w:noProof/>
            <w:webHidden/>
          </w:rPr>
          <w:instrText xml:space="preserve"> PAGEREF _Toc487212002 \h </w:instrText>
        </w:r>
        <w:r w:rsidR="00333AC0">
          <w:rPr>
            <w:noProof/>
            <w:webHidden/>
          </w:rPr>
        </w:r>
        <w:r w:rsidR="00333AC0">
          <w:rPr>
            <w:noProof/>
            <w:webHidden/>
          </w:rPr>
          <w:fldChar w:fldCharType="separate"/>
        </w:r>
        <w:r>
          <w:rPr>
            <w:noProof/>
            <w:webHidden/>
          </w:rPr>
          <w:t>18</w:t>
        </w:r>
        <w:r w:rsidR="00333AC0">
          <w:rPr>
            <w:noProof/>
            <w:webHidden/>
          </w:rPr>
          <w:fldChar w:fldCharType="end"/>
        </w:r>
      </w:hyperlink>
    </w:p>
    <w:p w14:paraId="20643762"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3" w:history="1">
        <w:r w:rsidR="00333AC0" w:rsidRPr="003A062B">
          <w:rPr>
            <w:rStyle w:val="Hyperlink"/>
            <w:rFonts w:eastAsiaTheme="majorEastAsia" w:cs="Arial"/>
            <w:noProof/>
          </w:rPr>
          <w:t>Table 4: Segregation of the T-DNA insert over three generations and backgrounds</w:t>
        </w:r>
        <w:r w:rsidR="00333AC0">
          <w:rPr>
            <w:noProof/>
            <w:webHidden/>
          </w:rPr>
          <w:tab/>
        </w:r>
        <w:r w:rsidR="00333AC0">
          <w:rPr>
            <w:noProof/>
            <w:webHidden/>
          </w:rPr>
          <w:fldChar w:fldCharType="begin"/>
        </w:r>
        <w:r w:rsidR="00333AC0">
          <w:rPr>
            <w:noProof/>
            <w:webHidden/>
          </w:rPr>
          <w:instrText xml:space="preserve"> PAGEREF _Toc487212003 \h </w:instrText>
        </w:r>
        <w:r w:rsidR="00333AC0">
          <w:rPr>
            <w:noProof/>
            <w:webHidden/>
          </w:rPr>
        </w:r>
        <w:r w:rsidR="00333AC0">
          <w:rPr>
            <w:noProof/>
            <w:webHidden/>
          </w:rPr>
          <w:fldChar w:fldCharType="separate"/>
        </w:r>
        <w:r>
          <w:rPr>
            <w:noProof/>
            <w:webHidden/>
          </w:rPr>
          <w:t>19</w:t>
        </w:r>
        <w:r w:rsidR="00333AC0">
          <w:rPr>
            <w:noProof/>
            <w:webHidden/>
          </w:rPr>
          <w:fldChar w:fldCharType="end"/>
        </w:r>
      </w:hyperlink>
    </w:p>
    <w:p w14:paraId="20643763"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4" w:history="1">
        <w:r w:rsidR="00333AC0" w:rsidRPr="003A062B">
          <w:rPr>
            <w:rStyle w:val="Hyperlink"/>
            <w:rFonts w:eastAsiaTheme="majorEastAsia" w:cs="Arial"/>
            <w:noProof/>
          </w:rPr>
          <w:t xml:space="preserve">Table 5: </w:t>
        </w:r>
        <w:r w:rsidR="00333AC0" w:rsidRPr="003A062B">
          <w:rPr>
            <w:rStyle w:val="Hyperlink"/>
            <w:rFonts w:eastAsiaTheme="majorEastAsia" w:cs="Arial"/>
            <w:i/>
            <w:noProof/>
          </w:rPr>
          <w:t>Zm</w:t>
        </w:r>
        <w:r w:rsidR="00333AC0" w:rsidRPr="003A062B">
          <w:rPr>
            <w:rStyle w:val="Hyperlink"/>
            <w:rFonts w:eastAsiaTheme="majorEastAsia" w:cs="Arial"/>
            <w:noProof/>
          </w:rPr>
          <w:t>Psy1, CRTI and PMI protein content in various tissues of GR2E (averaged across four sites) grown in the 2015 rainy season</w:t>
        </w:r>
        <w:r w:rsidR="00333AC0">
          <w:rPr>
            <w:noProof/>
            <w:webHidden/>
          </w:rPr>
          <w:tab/>
        </w:r>
        <w:r w:rsidR="00333AC0">
          <w:rPr>
            <w:noProof/>
            <w:webHidden/>
          </w:rPr>
          <w:fldChar w:fldCharType="begin"/>
        </w:r>
        <w:r w:rsidR="00333AC0">
          <w:rPr>
            <w:noProof/>
            <w:webHidden/>
          </w:rPr>
          <w:instrText xml:space="preserve"> PAGEREF _Toc487212004 \h </w:instrText>
        </w:r>
        <w:r w:rsidR="00333AC0">
          <w:rPr>
            <w:noProof/>
            <w:webHidden/>
          </w:rPr>
        </w:r>
        <w:r w:rsidR="00333AC0">
          <w:rPr>
            <w:noProof/>
            <w:webHidden/>
          </w:rPr>
          <w:fldChar w:fldCharType="separate"/>
        </w:r>
        <w:r>
          <w:rPr>
            <w:noProof/>
            <w:webHidden/>
          </w:rPr>
          <w:t>26</w:t>
        </w:r>
        <w:r w:rsidR="00333AC0">
          <w:rPr>
            <w:noProof/>
            <w:webHidden/>
          </w:rPr>
          <w:fldChar w:fldCharType="end"/>
        </w:r>
      </w:hyperlink>
    </w:p>
    <w:p w14:paraId="20643764"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5" w:history="1">
        <w:r w:rsidR="00333AC0" w:rsidRPr="003A062B">
          <w:rPr>
            <w:rStyle w:val="Hyperlink"/>
            <w:rFonts w:eastAsiaTheme="majorEastAsia"/>
            <w:noProof/>
          </w:rPr>
          <w:t>Table 6: ZmPsy1, CRTI and PMI protein content in various tissues of GR2E (averaged across four sites) grown in the 2016 dry season</w:t>
        </w:r>
        <w:r w:rsidR="00333AC0">
          <w:rPr>
            <w:noProof/>
            <w:webHidden/>
          </w:rPr>
          <w:tab/>
        </w:r>
        <w:r w:rsidR="00333AC0">
          <w:rPr>
            <w:noProof/>
            <w:webHidden/>
          </w:rPr>
          <w:fldChar w:fldCharType="begin"/>
        </w:r>
        <w:r w:rsidR="00333AC0">
          <w:rPr>
            <w:noProof/>
            <w:webHidden/>
          </w:rPr>
          <w:instrText xml:space="preserve"> PAGEREF _Toc487212005 \h </w:instrText>
        </w:r>
        <w:r w:rsidR="00333AC0">
          <w:rPr>
            <w:noProof/>
            <w:webHidden/>
          </w:rPr>
        </w:r>
        <w:r w:rsidR="00333AC0">
          <w:rPr>
            <w:noProof/>
            <w:webHidden/>
          </w:rPr>
          <w:fldChar w:fldCharType="separate"/>
        </w:r>
        <w:r>
          <w:rPr>
            <w:noProof/>
            <w:webHidden/>
          </w:rPr>
          <w:t>26</w:t>
        </w:r>
        <w:r w:rsidR="00333AC0">
          <w:rPr>
            <w:noProof/>
            <w:webHidden/>
          </w:rPr>
          <w:fldChar w:fldCharType="end"/>
        </w:r>
      </w:hyperlink>
    </w:p>
    <w:p w14:paraId="20643765"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6" w:history="1">
        <w:r w:rsidR="00333AC0" w:rsidRPr="003A062B">
          <w:rPr>
            <w:rStyle w:val="Hyperlink"/>
            <w:rFonts w:eastAsiaTheme="majorEastAsia"/>
            <w:noProof/>
          </w:rPr>
          <w:t>Table 7: Mean percentage (range) of proximates and fibre in paddy rice grain of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_Toc487212006 \h </w:instrText>
        </w:r>
        <w:r w:rsidR="00333AC0">
          <w:rPr>
            <w:noProof/>
            <w:webHidden/>
          </w:rPr>
        </w:r>
        <w:r w:rsidR="00333AC0">
          <w:rPr>
            <w:noProof/>
            <w:webHidden/>
          </w:rPr>
          <w:fldChar w:fldCharType="separate"/>
        </w:r>
        <w:r>
          <w:rPr>
            <w:noProof/>
            <w:webHidden/>
          </w:rPr>
          <w:t>41</w:t>
        </w:r>
        <w:r w:rsidR="00333AC0">
          <w:rPr>
            <w:noProof/>
            <w:webHidden/>
          </w:rPr>
          <w:fldChar w:fldCharType="end"/>
        </w:r>
      </w:hyperlink>
    </w:p>
    <w:p w14:paraId="20643766"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7" w:history="1">
        <w:r w:rsidR="00333AC0" w:rsidRPr="003A062B">
          <w:rPr>
            <w:rStyle w:val="Hyperlink"/>
            <w:rFonts w:eastAsiaTheme="majorEastAsia"/>
            <w:noProof/>
          </w:rPr>
          <w:t>Table 8: Mean percentage (range) composition, relative to total fat of major fatty acids in paddy rice grain from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_Toc487212007 \h </w:instrText>
        </w:r>
        <w:r w:rsidR="00333AC0">
          <w:rPr>
            <w:noProof/>
            <w:webHidden/>
          </w:rPr>
        </w:r>
        <w:r w:rsidR="00333AC0">
          <w:rPr>
            <w:noProof/>
            <w:webHidden/>
          </w:rPr>
          <w:fldChar w:fldCharType="separate"/>
        </w:r>
        <w:r>
          <w:rPr>
            <w:noProof/>
            <w:webHidden/>
          </w:rPr>
          <w:t>42</w:t>
        </w:r>
        <w:r w:rsidR="00333AC0">
          <w:rPr>
            <w:noProof/>
            <w:webHidden/>
          </w:rPr>
          <w:fldChar w:fldCharType="end"/>
        </w:r>
      </w:hyperlink>
    </w:p>
    <w:p w14:paraId="20643767"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8" w:history="1">
        <w:r w:rsidR="00333AC0" w:rsidRPr="003A062B">
          <w:rPr>
            <w:rStyle w:val="Hyperlink"/>
            <w:rFonts w:eastAsiaTheme="majorEastAsia"/>
            <w:noProof/>
          </w:rPr>
          <w:t>Table 9: Mean (range) amino acid composition (g/100 g dw) in paddy rice grain from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_Toc487212008 \h </w:instrText>
        </w:r>
        <w:r w:rsidR="00333AC0">
          <w:rPr>
            <w:noProof/>
            <w:webHidden/>
          </w:rPr>
        </w:r>
        <w:r w:rsidR="00333AC0">
          <w:rPr>
            <w:noProof/>
            <w:webHidden/>
          </w:rPr>
          <w:fldChar w:fldCharType="separate"/>
        </w:r>
        <w:r>
          <w:rPr>
            <w:noProof/>
            <w:webHidden/>
          </w:rPr>
          <w:t>43</w:t>
        </w:r>
        <w:r w:rsidR="00333AC0">
          <w:rPr>
            <w:noProof/>
            <w:webHidden/>
          </w:rPr>
          <w:fldChar w:fldCharType="end"/>
        </w:r>
      </w:hyperlink>
    </w:p>
    <w:p w14:paraId="20643768"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09" w:history="1">
        <w:r w:rsidR="00333AC0" w:rsidRPr="003A062B">
          <w:rPr>
            <w:rStyle w:val="Hyperlink"/>
            <w:rFonts w:eastAsiaTheme="majorEastAsia"/>
            <w:noProof/>
          </w:rPr>
          <w:t>Table 10: Mean (range) mineral composition (g/100 g dw) in paddy rice grain from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_Toc487212009 \h </w:instrText>
        </w:r>
        <w:r w:rsidR="00333AC0">
          <w:rPr>
            <w:noProof/>
            <w:webHidden/>
          </w:rPr>
        </w:r>
        <w:r w:rsidR="00333AC0">
          <w:rPr>
            <w:noProof/>
            <w:webHidden/>
          </w:rPr>
          <w:fldChar w:fldCharType="separate"/>
        </w:r>
        <w:r>
          <w:rPr>
            <w:noProof/>
            <w:webHidden/>
          </w:rPr>
          <w:t>44</w:t>
        </w:r>
        <w:r w:rsidR="00333AC0">
          <w:rPr>
            <w:noProof/>
            <w:webHidden/>
          </w:rPr>
          <w:fldChar w:fldCharType="end"/>
        </w:r>
      </w:hyperlink>
    </w:p>
    <w:p w14:paraId="20643769"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10" w:history="1">
        <w:r w:rsidR="00333AC0" w:rsidRPr="003A062B">
          <w:rPr>
            <w:rStyle w:val="Hyperlink"/>
            <w:rFonts w:eastAsiaTheme="majorEastAsia"/>
            <w:noProof/>
          </w:rPr>
          <w:t>Table 11: Mean (range) vitamin composition (g/kg dw) in paddy rice grain from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_Toc487212010 \h </w:instrText>
        </w:r>
        <w:r w:rsidR="00333AC0">
          <w:rPr>
            <w:noProof/>
            <w:webHidden/>
          </w:rPr>
        </w:r>
        <w:r w:rsidR="00333AC0">
          <w:rPr>
            <w:noProof/>
            <w:webHidden/>
          </w:rPr>
          <w:fldChar w:fldCharType="separate"/>
        </w:r>
        <w:r>
          <w:rPr>
            <w:noProof/>
            <w:webHidden/>
          </w:rPr>
          <w:t>45</w:t>
        </w:r>
        <w:r w:rsidR="00333AC0">
          <w:rPr>
            <w:noProof/>
            <w:webHidden/>
          </w:rPr>
          <w:fldChar w:fldCharType="end"/>
        </w:r>
      </w:hyperlink>
    </w:p>
    <w:p w14:paraId="2064376A"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11" w:history="1">
        <w:r w:rsidR="00333AC0" w:rsidRPr="003A062B">
          <w:rPr>
            <w:rStyle w:val="Hyperlink"/>
            <w:rFonts w:eastAsiaTheme="majorEastAsia"/>
            <w:noProof/>
          </w:rPr>
          <w:t>Table 12: Mean (range) carotenoid levels in milled rice grain collected from GR2E and the Rc82 control over two growing seasons and four locations</w:t>
        </w:r>
        <w:r w:rsidR="00333AC0">
          <w:rPr>
            <w:noProof/>
            <w:webHidden/>
          </w:rPr>
          <w:tab/>
        </w:r>
        <w:r w:rsidR="00333AC0">
          <w:rPr>
            <w:noProof/>
            <w:webHidden/>
          </w:rPr>
          <w:fldChar w:fldCharType="begin"/>
        </w:r>
        <w:r w:rsidR="00333AC0">
          <w:rPr>
            <w:noProof/>
            <w:webHidden/>
          </w:rPr>
          <w:instrText xml:space="preserve"> PAGEREF _Toc487212011 \h </w:instrText>
        </w:r>
        <w:r w:rsidR="00333AC0">
          <w:rPr>
            <w:noProof/>
            <w:webHidden/>
          </w:rPr>
        </w:r>
        <w:r w:rsidR="00333AC0">
          <w:rPr>
            <w:noProof/>
            <w:webHidden/>
          </w:rPr>
          <w:fldChar w:fldCharType="separate"/>
        </w:r>
        <w:r>
          <w:rPr>
            <w:noProof/>
            <w:webHidden/>
          </w:rPr>
          <w:t>46</w:t>
        </w:r>
        <w:r w:rsidR="00333AC0">
          <w:rPr>
            <w:noProof/>
            <w:webHidden/>
          </w:rPr>
          <w:fldChar w:fldCharType="end"/>
        </w:r>
      </w:hyperlink>
    </w:p>
    <w:p w14:paraId="2064376B" w14:textId="77777777" w:rsidR="00333AC0" w:rsidRDefault="00286242" w:rsidP="00011A05">
      <w:pPr>
        <w:pStyle w:val="TableofFigures"/>
        <w:tabs>
          <w:tab w:val="right" w:leader="dot" w:pos="9060"/>
        </w:tabs>
        <w:spacing w:after="120"/>
        <w:ind w:left="993" w:hanging="993"/>
        <w:rPr>
          <w:rFonts w:asciiTheme="minorHAnsi" w:eastAsiaTheme="minorEastAsia" w:hAnsiTheme="minorHAnsi" w:cstheme="minorBidi"/>
          <w:noProof/>
          <w:szCs w:val="22"/>
          <w:lang w:eastAsia="en-GB" w:bidi="ar-SA"/>
        </w:rPr>
      </w:pPr>
      <w:hyperlink w:anchor="_Toc487212012" w:history="1">
        <w:r w:rsidR="00333AC0" w:rsidRPr="003A062B">
          <w:rPr>
            <w:rStyle w:val="Hyperlink"/>
            <w:rFonts w:eastAsiaTheme="majorEastAsia"/>
            <w:noProof/>
          </w:rPr>
          <w:t>Table 13: Mean (range) anti-nutrient levels in paddy rice grain from GR2E and the Rc82 control collected over two growing seasons and four locations</w:t>
        </w:r>
        <w:r w:rsidR="00333AC0">
          <w:rPr>
            <w:noProof/>
            <w:webHidden/>
          </w:rPr>
          <w:tab/>
        </w:r>
        <w:r w:rsidR="00333AC0">
          <w:rPr>
            <w:noProof/>
            <w:webHidden/>
          </w:rPr>
          <w:fldChar w:fldCharType="begin"/>
        </w:r>
        <w:r w:rsidR="00333AC0">
          <w:rPr>
            <w:noProof/>
            <w:webHidden/>
          </w:rPr>
          <w:instrText xml:space="preserve"> PAGEREF _Toc487212012 \h </w:instrText>
        </w:r>
        <w:r w:rsidR="00333AC0">
          <w:rPr>
            <w:noProof/>
            <w:webHidden/>
          </w:rPr>
        </w:r>
        <w:r w:rsidR="00333AC0">
          <w:rPr>
            <w:noProof/>
            <w:webHidden/>
          </w:rPr>
          <w:fldChar w:fldCharType="separate"/>
        </w:r>
        <w:r>
          <w:rPr>
            <w:noProof/>
            <w:webHidden/>
          </w:rPr>
          <w:t>46</w:t>
        </w:r>
        <w:r w:rsidR="00333AC0">
          <w:rPr>
            <w:noProof/>
            <w:webHidden/>
          </w:rPr>
          <w:fldChar w:fldCharType="end"/>
        </w:r>
      </w:hyperlink>
    </w:p>
    <w:p w14:paraId="2064376C" w14:textId="77777777" w:rsidR="00333AC0" w:rsidRPr="008E15A9" w:rsidRDefault="00333AC0" w:rsidP="00011A05">
      <w:pPr>
        <w:widowControl/>
        <w:spacing w:before="120" w:after="120"/>
        <w:ind w:left="993" w:hanging="993"/>
        <w:rPr>
          <w:color w:val="000000" w:themeColor="text1"/>
        </w:rPr>
      </w:pPr>
      <w:r w:rsidRPr="008E15A9">
        <w:rPr>
          <w:color w:val="000000" w:themeColor="text1"/>
        </w:rPr>
        <w:fldChar w:fldCharType="end"/>
      </w:r>
      <w:r w:rsidRPr="008E15A9">
        <w:rPr>
          <w:color w:val="000000" w:themeColor="text1"/>
        </w:rPr>
        <w:br w:type="page"/>
      </w:r>
    </w:p>
    <w:p w14:paraId="2064376D" w14:textId="77777777" w:rsidR="00333AC0" w:rsidRPr="00693DE6" w:rsidRDefault="00333AC0" w:rsidP="00011A05">
      <w:pPr>
        <w:pStyle w:val="Heading1"/>
        <w:ind w:left="720" w:hanging="720"/>
        <w:jc w:val="both"/>
        <w:rPr>
          <w:color w:val="000000" w:themeColor="text1"/>
          <w:sz w:val="28"/>
        </w:rPr>
      </w:pPr>
      <w:bookmarkStart w:id="12" w:name="_Toc470008709"/>
      <w:r w:rsidRPr="00693DE6">
        <w:rPr>
          <w:color w:val="000000" w:themeColor="text1"/>
          <w:sz w:val="28"/>
        </w:rPr>
        <w:t>List of Abbreviations</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333AC0" w:rsidRPr="00E308F0" w14:paraId="20643770" w14:textId="77777777" w:rsidTr="00011A05">
        <w:trPr>
          <w:trHeight w:val="283"/>
        </w:trPr>
        <w:tc>
          <w:tcPr>
            <w:tcW w:w="2943" w:type="dxa"/>
          </w:tcPr>
          <w:p w14:paraId="2064376E" w14:textId="77777777" w:rsidR="00333AC0" w:rsidRPr="00AC62B2" w:rsidRDefault="00333AC0" w:rsidP="00011A05">
            <w:pPr>
              <w:widowControl/>
              <w:rPr>
                <w:color w:val="000000" w:themeColor="text1"/>
              </w:rPr>
            </w:pPr>
            <w:r>
              <w:rPr>
                <w:color w:val="000000" w:themeColor="text1"/>
              </w:rPr>
              <w:t>AOAC</w:t>
            </w:r>
          </w:p>
        </w:tc>
        <w:tc>
          <w:tcPr>
            <w:tcW w:w="6299" w:type="dxa"/>
          </w:tcPr>
          <w:p w14:paraId="2064376F" w14:textId="77777777" w:rsidR="00333AC0" w:rsidRPr="00AC62B2" w:rsidRDefault="00333AC0" w:rsidP="00011A05">
            <w:pPr>
              <w:widowControl/>
              <w:rPr>
                <w:color w:val="000000" w:themeColor="text1"/>
              </w:rPr>
            </w:pPr>
            <w:r>
              <w:rPr>
                <w:color w:val="000000" w:themeColor="text1"/>
              </w:rPr>
              <w:t>Association of Official Analytical Chemists</w:t>
            </w:r>
          </w:p>
        </w:tc>
      </w:tr>
      <w:tr w:rsidR="00333AC0" w:rsidRPr="00E308F0" w14:paraId="20643773" w14:textId="77777777" w:rsidTr="00011A05">
        <w:trPr>
          <w:trHeight w:val="283"/>
        </w:trPr>
        <w:tc>
          <w:tcPr>
            <w:tcW w:w="2943" w:type="dxa"/>
          </w:tcPr>
          <w:p w14:paraId="20643771" w14:textId="77777777" w:rsidR="00333AC0" w:rsidRPr="00AC62B2" w:rsidRDefault="00333AC0" w:rsidP="00011A05">
            <w:pPr>
              <w:widowControl/>
              <w:rPr>
                <w:color w:val="000000" w:themeColor="text1"/>
              </w:rPr>
            </w:pPr>
            <w:r>
              <w:rPr>
                <w:color w:val="000000" w:themeColor="text1"/>
              </w:rPr>
              <w:t>AP</w:t>
            </w:r>
          </w:p>
        </w:tc>
        <w:tc>
          <w:tcPr>
            <w:tcW w:w="6299" w:type="dxa"/>
          </w:tcPr>
          <w:p w14:paraId="20643772" w14:textId="77777777" w:rsidR="00333AC0" w:rsidRPr="00AC62B2" w:rsidRDefault="00333AC0" w:rsidP="00011A05">
            <w:pPr>
              <w:widowControl/>
              <w:rPr>
                <w:color w:val="000000" w:themeColor="text1"/>
              </w:rPr>
            </w:pPr>
            <w:r>
              <w:rPr>
                <w:color w:val="000000" w:themeColor="text1"/>
              </w:rPr>
              <w:t>alkaline phosphatase</w:t>
            </w:r>
          </w:p>
        </w:tc>
      </w:tr>
      <w:tr w:rsidR="00333AC0" w:rsidRPr="00E308F0" w14:paraId="20643776" w14:textId="77777777" w:rsidTr="00011A05">
        <w:trPr>
          <w:trHeight w:val="283"/>
        </w:trPr>
        <w:tc>
          <w:tcPr>
            <w:tcW w:w="2943" w:type="dxa"/>
          </w:tcPr>
          <w:p w14:paraId="20643774" w14:textId="77777777" w:rsidR="00333AC0" w:rsidRPr="00AC62B2" w:rsidRDefault="00333AC0" w:rsidP="00011A05">
            <w:pPr>
              <w:widowControl/>
              <w:rPr>
                <w:color w:val="000000" w:themeColor="text1"/>
              </w:rPr>
            </w:pPr>
            <w:r w:rsidRPr="00AC62B2">
              <w:rPr>
                <w:color w:val="000000" w:themeColor="text1"/>
              </w:rPr>
              <w:t>BLAST</w:t>
            </w:r>
          </w:p>
        </w:tc>
        <w:tc>
          <w:tcPr>
            <w:tcW w:w="6299" w:type="dxa"/>
          </w:tcPr>
          <w:p w14:paraId="20643775" w14:textId="77777777" w:rsidR="00333AC0" w:rsidRPr="00AC62B2" w:rsidRDefault="00333AC0" w:rsidP="00011A05">
            <w:pPr>
              <w:widowControl/>
              <w:rPr>
                <w:color w:val="000000" w:themeColor="text1"/>
              </w:rPr>
            </w:pPr>
            <w:r w:rsidRPr="00AC62B2">
              <w:rPr>
                <w:color w:val="000000" w:themeColor="text1"/>
              </w:rPr>
              <w:t>Basic Local Alignment Search Tool</w:t>
            </w:r>
          </w:p>
        </w:tc>
      </w:tr>
      <w:tr w:rsidR="00333AC0" w:rsidRPr="00E308F0" w14:paraId="20643779" w14:textId="77777777" w:rsidTr="00011A05">
        <w:trPr>
          <w:trHeight w:val="283"/>
        </w:trPr>
        <w:tc>
          <w:tcPr>
            <w:tcW w:w="2943" w:type="dxa"/>
          </w:tcPr>
          <w:p w14:paraId="20643777" w14:textId="77777777" w:rsidR="00333AC0" w:rsidRPr="00AC62B2" w:rsidRDefault="00333AC0" w:rsidP="00011A05">
            <w:pPr>
              <w:widowControl/>
              <w:rPr>
                <w:color w:val="000000" w:themeColor="text1"/>
              </w:rPr>
            </w:pPr>
            <w:r w:rsidRPr="00AC62B2">
              <w:rPr>
                <w:color w:val="000000" w:themeColor="text1"/>
              </w:rPr>
              <w:t>BLAST</w:t>
            </w:r>
            <w:r>
              <w:rPr>
                <w:color w:val="000000" w:themeColor="text1"/>
              </w:rPr>
              <w:t>P</w:t>
            </w:r>
          </w:p>
        </w:tc>
        <w:tc>
          <w:tcPr>
            <w:tcW w:w="6299" w:type="dxa"/>
          </w:tcPr>
          <w:p w14:paraId="20643778" w14:textId="77777777" w:rsidR="00333AC0" w:rsidRPr="00AC62B2" w:rsidRDefault="00333AC0" w:rsidP="00011A05">
            <w:pPr>
              <w:widowControl/>
              <w:rPr>
                <w:color w:val="000000" w:themeColor="text1"/>
              </w:rPr>
            </w:pPr>
            <w:r w:rsidRPr="00AC62B2">
              <w:rPr>
                <w:color w:val="000000" w:themeColor="text1"/>
              </w:rPr>
              <w:t>Basic Local Alignment Search Tool</w:t>
            </w:r>
            <w:r>
              <w:rPr>
                <w:color w:val="000000" w:themeColor="text1"/>
              </w:rPr>
              <w:t xml:space="preserve"> - Protein</w:t>
            </w:r>
          </w:p>
        </w:tc>
      </w:tr>
      <w:tr w:rsidR="00333AC0" w:rsidRPr="00E308F0" w14:paraId="2064377C" w14:textId="77777777" w:rsidTr="00011A05">
        <w:trPr>
          <w:trHeight w:val="283"/>
        </w:trPr>
        <w:tc>
          <w:tcPr>
            <w:tcW w:w="2943" w:type="dxa"/>
          </w:tcPr>
          <w:p w14:paraId="2064377A" w14:textId="77777777" w:rsidR="00333AC0" w:rsidRPr="00AC62B2" w:rsidRDefault="00333AC0" w:rsidP="00011A05">
            <w:pPr>
              <w:widowControl/>
              <w:rPr>
                <w:color w:val="000000" w:themeColor="text1"/>
              </w:rPr>
            </w:pPr>
            <w:r w:rsidRPr="00AC62B2">
              <w:rPr>
                <w:color w:val="000000" w:themeColor="text1"/>
              </w:rPr>
              <w:t>bp</w:t>
            </w:r>
          </w:p>
        </w:tc>
        <w:tc>
          <w:tcPr>
            <w:tcW w:w="6299" w:type="dxa"/>
          </w:tcPr>
          <w:p w14:paraId="2064377B" w14:textId="77777777" w:rsidR="00333AC0" w:rsidRPr="00AC62B2" w:rsidRDefault="00333AC0" w:rsidP="00011A05">
            <w:pPr>
              <w:widowControl/>
              <w:rPr>
                <w:color w:val="000000" w:themeColor="text1"/>
              </w:rPr>
            </w:pPr>
            <w:r w:rsidRPr="00AC62B2">
              <w:rPr>
                <w:color w:val="000000" w:themeColor="text1"/>
              </w:rPr>
              <w:t>base pairs</w:t>
            </w:r>
          </w:p>
        </w:tc>
      </w:tr>
      <w:tr w:rsidR="00333AC0" w:rsidRPr="00E308F0" w14:paraId="2064377F" w14:textId="77777777" w:rsidTr="00011A05">
        <w:trPr>
          <w:trHeight w:val="283"/>
        </w:trPr>
        <w:tc>
          <w:tcPr>
            <w:tcW w:w="2943" w:type="dxa"/>
          </w:tcPr>
          <w:p w14:paraId="2064377D" w14:textId="77777777" w:rsidR="00333AC0" w:rsidRPr="006607C4" w:rsidRDefault="00333AC0" w:rsidP="00011A05">
            <w:pPr>
              <w:widowControl/>
              <w:rPr>
                <w:color w:val="000000" w:themeColor="text1"/>
              </w:rPr>
            </w:pPr>
            <w:r w:rsidRPr="006607C4">
              <w:rPr>
                <w:color w:val="000000" w:themeColor="text1"/>
              </w:rPr>
              <w:t>CRTI</w:t>
            </w:r>
          </w:p>
        </w:tc>
        <w:tc>
          <w:tcPr>
            <w:tcW w:w="6299" w:type="dxa"/>
          </w:tcPr>
          <w:p w14:paraId="2064377E" w14:textId="77777777" w:rsidR="00333AC0" w:rsidRPr="006607C4" w:rsidRDefault="00333AC0" w:rsidP="00011A05">
            <w:pPr>
              <w:widowControl/>
              <w:rPr>
                <w:color w:val="000000" w:themeColor="text1"/>
              </w:rPr>
            </w:pPr>
            <w:r>
              <w:rPr>
                <w:color w:val="000000" w:themeColor="text1"/>
              </w:rPr>
              <w:t>c</w:t>
            </w:r>
            <w:r w:rsidRPr="006607C4">
              <w:rPr>
                <w:color w:val="000000" w:themeColor="text1"/>
              </w:rPr>
              <w:t>arotene</w:t>
            </w:r>
            <w:r>
              <w:rPr>
                <w:color w:val="000000" w:themeColor="text1"/>
              </w:rPr>
              <w:t xml:space="preserve"> desaturase I</w:t>
            </w:r>
          </w:p>
        </w:tc>
      </w:tr>
      <w:tr w:rsidR="00333AC0" w:rsidRPr="00E308F0" w14:paraId="20643782" w14:textId="77777777" w:rsidTr="00011A05">
        <w:trPr>
          <w:trHeight w:val="283"/>
        </w:trPr>
        <w:tc>
          <w:tcPr>
            <w:tcW w:w="2943" w:type="dxa"/>
          </w:tcPr>
          <w:p w14:paraId="20643780" w14:textId="77777777" w:rsidR="00333AC0" w:rsidRPr="00A00AE1" w:rsidRDefault="00333AC0" w:rsidP="00011A05">
            <w:pPr>
              <w:widowControl/>
              <w:rPr>
                <w:color w:val="000000" w:themeColor="text1"/>
              </w:rPr>
            </w:pPr>
            <w:r>
              <w:rPr>
                <w:color w:val="000000" w:themeColor="text1"/>
              </w:rPr>
              <w:t>DIG</w:t>
            </w:r>
          </w:p>
        </w:tc>
        <w:tc>
          <w:tcPr>
            <w:tcW w:w="6299" w:type="dxa"/>
          </w:tcPr>
          <w:p w14:paraId="20643781" w14:textId="77777777" w:rsidR="00333AC0" w:rsidRPr="00A00AE1" w:rsidRDefault="00333AC0" w:rsidP="00011A05">
            <w:pPr>
              <w:widowControl/>
              <w:rPr>
                <w:color w:val="000000" w:themeColor="text1"/>
              </w:rPr>
            </w:pPr>
            <w:r>
              <w:rPr>
                <w:iCs/>
                <w:color w:val="000000" w:themeColor="text1"/>
              </w:rPr>
              <w:t>digoxigenin</w:t>
            </w:r>
          </w:p>
        </w:tc>
      </w:tr>
      <w:tr w:rsidR="00333AC0" w:rsidRPr="00E308F0" w14:paraId="20643785" w14:textId="77777777" w:rsidTr="00011A05">
        <w:trPr>
          <w:trHeight w:val="283"/>
        </w:trPr>
        <w:tc>
          <w:tcPr>
            <w:tcW w:w="2943" w:type="dxa"/>
          </w:tcPr>
          <w:p w14:paraId="20643783" w14:textId="77777777" w:rsidR="00333AC0" w:rsidRPr="00A00AE1" w:rsidRDefault="00333AC0" w:rsidP="00011A05">
            <w:pPr>
              <w:widowControl/>
              <w:rPr>
                <w:color w:val="000000" w:themeColor="text1"/>
              </w:rPr>
            </w:pPr>
            <w:r>
              <w:rPr>
                <w:color w:val="000000" w:themeColor="text1"/>
              </w:rPr>
              <w:t>DMAPP</w:t>
            </w:r>
          </w:p>
        </w:tc>
        <w:tc>
          <w:tcPr>
            <w:tcW w:w="6299" w:type="dxa"/>
          </w:tcPr>
          <w:p w14:paraId="20643784" w14:textId="77777777" w:rsidR="00333AC0" w:rsidRPr="00A00AE1" w:rsidRDefault="00333AC0" w:rsidP="00011A05">
            <w:pPr>
              <w:widowControl/>
              <w:rPr>
                <w:color w:val="000000" w:themeColor="text1"/>
              </w:rPr>
            </w:pPr>
            <w:r>
              <w:rPr>
                <w:color w:val="000000" w:themeColor="text1"/>
              </w:rPr>
              <w:t>dimethylallyl diphosphate</w:t>
            </w:r>
          </w:p>
        </w:tc>
      </w:tr>
      <w:tr w:rsidR="00333AC0" w:rsidRPr="00E308F0" w14:paraId="20643788" w14:textId="77777777" w:rsidTr="00011A05">
        <w:trPr>
          <w:trHeight w:val="283"/>
        </w:trPr>
        <w:tc>
          <w:tcPr>
            <w:tcW w:w="2943" w:type="dxa"/>
          </w:tcPr>
          <w:p w14:paraId="20643786" w14:textId="77777777" w:rsidR="00333AC0" w:rsidRPr="00A00AE1" w:rsidRDefault="00333AC0" w:rsidP="00011A05">
            <w:pPr>
              <w:widowControl/>
              <w:rPr>
                <w:color w:val="000000" w:themeColor="text1"/>
              </w:rPr>
            </w:pPr>
            <w:r w:rsidRPr="00A00AE1">
              <w:rPr>
                <w:color w:val="000000" w:themeColor="text1"/>
              </w:rPr>
              <w:t>DNA</w:t>
            </w:r>
          </w:p>
        </w:tc>
        <w:tc>
          <w:tcPr>
            <w:tcW w:w="6299" w:type="dxa"/>
          </w:tcPr>
          <w:p w14:paraId="20643787" w14:textId="77777777" w:rsidR="00333AC0" w:rsidRPr="00A00AE1" w:rsidRDefault="00333AC0" w:rsidP="00011A05">
            <w:pPr>
              <w:widowControl/>
              <w:rPr>
                <w:color w:val="000000" w:themeColor="text1"/>
              </w:rPr>
            </w:pPr>
            <w:r w:rsidRPr="00A00AE1">
              <w:rPr>
                <w:color w:val="000000" w:themeColor="text1"/>
              </w:rPr>
              <w:t>deoxyribonucleic acid</w:t>
            </w:r>
          </w:p>
        </w:tc>
      </w:tr>
      <w:tr w:rsidR="00333AC0" w:rsidRPr="00E308F0" w14:paraId="2064378B" w14:textId="77777777" w:rsidTr="00011A05">
        <w:trPr>
          <w:trHeight w:val="283"/>
        </w:trPr>
        <w:tc>
          <w:tcPr>
            <w:tcW w:w="2943" w:type="dxa"/>
          </w:tcPr>
          <w:p w14:paraId="20643789" w14:textId="77777777" w:rsidR="00333AC0" w:rsidRDefault="00333AC0" w:rsidP="00011A05">
            <w:pPr>
              <w:widowControl/>
              <w:rPr>
                <w:color w:val="000000" w:themeColor="text1"/>
              </w:rPr>
            </w:pPr>
            <w:r>
              <w:rPr>
                <w:color w:val="000000" w:themeColor="text1"/>
              </w:rPr>
              <w:t>dw</w:t>
            </w:r>
          </w:p>
        </w:tc>
        <w:tc>
          <w:tcPr>
            <w:tcW w:w="6299" w:type="dxa"/>
          </w:tcPr>
          <w:p w14:paraId="2064378A" w14:textId="77777777" w:rsidR="00333AC0" w:rsidRDefault="00333AC0" w:rsidP="00011A05">
            <w:pPr>
              <w:widowControl/>
              <w:rPr>
                <w:color w:val="000000" w:themeColor="text1"/>
              </w:rPr>
            </w:pPr>
            <w:r>
              <w:rPr>
                <w:color w:val="000000" w:themeColor="text1"/>
              </w:rPr>
              <w:t>dry weight</w:t>
            </w:r>
          </w:p>
        </w:tc>
      </w:tr>
      <w:tr w:rsidR="00333AC0" w:rsidRPr="00E308F0" w14:paraId="2064378E" w14:textId="77777777" w:rsidTr="00011A05">
        <w:trPr>
          <w:trHeight w:val="283"/>
        </w:trPr>
        <w:tc>
          <w:tcPr>
            <w:tcW w:w="2943" w:type="dxa"/>
          </w:tcPr>
          <w:p w14:paraId="2064378C" w14:textId="77777777" w:rsidR="00333AC0" w:rsidRPr="00A00AE1" w:rsidRDefault="00333AC0" w:rsidP="00011A05">
            <w:pPr>
              <w:widowControl/>
              <w:rPr>
                <w:color w:val="000000" w:themeColor="text1"/>
              </w:rPr>
            </w:pPr>
            <w:r>
              <w:rPr>
                <w:color w:val="000000" w:themeColor="text1"/>
              </w:rPr>
              <w:t>ELISA</w:t>
            </w:r>
          </w:p>
        </w:tc>
        <w:tc>
          <w:tcPr>
            <w:tcW w:w="6299" w:type="dxa"/>
          </w:tcPr>
          <w:p w14:paraId="2064378D" w14:textId="77777777" w:rsidR="00333AC0" w:rsidRPr="00A00AE1" w:rsidRDefault="00333AC0" w:rsidP="00011A05">
            <w:pPr>
              <w:widowControl/>
              <w:rPr>
                <w:color w:val="000000" w:themeColor="text1"/>
              </w:rPr>
            </w:pPr>
            <w:r>
              <w:rPr>
                <w:color w:val="000000" w:themeColor="text1"/>
              </w:rPr>
              <w:t>enzyme linked immunosorbent assay</w:t>
            </w:r>
          </w:p>
        </w:tc>
      </w:tr>
      <w:tr w:rsidR="00333AC0" w:rsidRPr="00E308F0" w14:paraId="20643791" w14:textId="77777777" w:rsidTr="00011A05">
        <w:trPr>
          <w:trHeight w:val="283"/>
        </w:trPr>
        <w:tc>
          <w:tcPr>
            <w:tcW w:w="2943" w:type="dxa"/>
          </w:tcPr>
          <w:p w14:paraId="2064378F" w14:textId="77777777" w:rsidR="00333AC0" w:rsidRPr="00A00AE1" w:rsidRDefault="00333AC0" w:rsidP="00011A05">
            <w:pPr>
              <w:widowControl/>
              <w:rPr>
                <w:color w:val="000000" w:themeColor="text1"/>
              </w:rPr>
            </w:pPr>
            <w:r>
              <w:rPr>
                <w:color w:val="000000" w:themeColor="text1"/>
              </w:rPr>
              <w:t>FAD</w:t>
            </w:r>
          </w:p>
        </w:tc>
        <w:tc>
          <w:tcPr>
            <w:tcW w:w="6299" w:type="dxa"/>
          </w:tcPr>
          <w:p w14:paraId="20643790" w14:textId="77777777" w:rsidR="00333AC0" w:rsidRPr="00A00AE1" w:rsidRDefault="00333AC0" w:rsidP="00011A05">
            <w:pPr>
              <w:widowControl/>
              <w:rPr>
                <w:color w:val="000000" w:themeColor="text1"/>
              </w:rPr>
            </w:pPr>
            <w:r>
              <w:rPr>
                <w:rFonts w:ascii="CharterBT-Roman" w:hAnsi="CharterBT-Roman" w:cs="CharterBT-Roman"/>
                <w:szCs w:val="22"/>
                <w:lang w:eastAsia="en-GB" w:bidi="ar-SA"/>
              </w:rPr>
              <w:t>flavin adenine dinucleotide</w:t>
            </w:r>
          </w:p>
        </w:tc>
      </w:tr>
      <w:tr w:rsidR="00333AC0" w:rsidRPr="00E308F0" w14:paraId="20643794" w14:textId="77777777" w:rsidTr="00011A05">
        <w:trPr>
          <w:trHeight w:val="283"/>
        </w:trPr>
        <w:tc>
          <w:tcPr>
            <w:tcW w:w="2943" w:type="dxa"/>
          </w:tcPr>
          <w:p w14:paraId="20643792" w14:textId="77777777" w:rsidR="00333AC0" w:rsidRPr="00A00AE1" w:rsidRDefault="00333AC0" w:rsidP="00011A05">
            <w:pPr>
              <w:widowControl/>
              <w:rPr>
                <w:color w:val="000000" w:themeColor="text1"/>
              </w:rPr>
            </w:pPr>
            <w:r w:rsidRPr="00A00AE1">
              <w:rPr>
                <w:color w:val="000000" w:themeColor="text1"/>
              </w:rPr>
              <w:t>FAO</w:t>
            </w:r>
          </w:p>
        </w:tc>
        <w:tc>
          <w:tcPr>
            <w:tcW w:w="6299" w:type="dxa"/>
          </w:tcPr>
          <w:p w14:paraId="20643793" w14:textId="77777777" w:rsidR="00333AC0" w:rsidRPr="00A00AE1" w:rsidRDefault="00333AC0" w:rsidP="00011A05">
            <w:pPr>
              <w:widowControl/>
              <w:rPr>
                <w:color w:val="000000" w:themeColor="text1"/>
              </w:rPr>
            </w:pPr>
            <w:r w:rsidRPr="00A00AE1">
              <w:rPr>
                <w:color w:val="000000" w:themeColor="text1"/>
              </w:rPr>
              <w:t>Food &amp; Agricultural Organization of the United Nations</w:t>
            </w:r>
          </w:p>
        </w:tc>
      </w:tr>
      <w:tr w:rsidR="00333AC0" w:rsidRPr="00E308F0" w14:paraId="20643797" w14:textId="77777777" w:rsidTr="00011A05">
        <w:trPr>
          <w:trHeight w:val="283"/>
        </w:trPr>
        <w:tc>
          <w:tcPr>
            <w:tcW w:w="2943" w:type="dxa"/>
          </w:tcPr>
          <w:p w14:paraId="20643795" w14:textId="77777777" w:rsidR="00333AC0" w:rsidRDefault="00333AC0" w:rsidP="00011A05">
            <w:pPr>
              <w:widowControl/>
              <w:rPr>
                <w:color w:val="000000" w:themeColor="text1"/>
              </w:rPr>
            </w:pPr>
            <w:r>
              <w:rPr>
                <w:color w:val="000000" w:themeColor="text1"/>
              </w:rPr>
              <w:t>FARRP</w:t>
            </w:r>
          </w:p>
        </w:tc>
        <w:tc>
          <w:tcPr>
            <w:tcW w:w="6299" w:type="dxa"/>
          </w:tcPr>
          <w:p w14:paraId="20643796" w14:textId="77777777" w:rsidR="00333AC0" w:rsidRPr="001379A4" w:rsidRDefault="00333AC0" w:rsidP="00011A05">
            <w:pPr>
              <w:widowControl/>
              <w:rPr>
                <w:rFonts w:cs="Arial"/>
                <w:color w:val="000000" w:themeColor="text1"/>
                <w:szCs w:val="22"/>
              </w:rPr>
            </w:pPr>
            <w:r>
              <w:rPr>
                <w:color w:val="000000" w:themeColor="text1"/>
                <w:lang w:val="en-AU"/>
              </w:rPr>
              <w:t>Food Allergy Research and Resource Program</w:t>
            </w:r>
          </w:p>
        </w:tc>
      </w:tr>
      <w:tr w:rsidR="00333AC0" w:rsidRPr="00E308F0" w14:paraId="2064379A" w14:textId="77777777" w:rsidTr="00011A05">
        <w:trPr>
          <w:trHeight w:val="283"/>
        </w:trPr>
        <w:tc>
          <w:tcPr>
            <w:tcW w:w="2943" w:type="dxa"/>
          </w:tcPr>
          <w:p w14:paraId="20643798" w14:textId="77777777" w:rsidR="00333AC0" w:rsidRDefault="00333AC0" w:rsidP="00011A05">
            <w:pPr>
              <w:widowControl/>
              <w:rPr>
                <w:color w:val="000000" w:themeColor="text1"/>
              </w:rPr>
            </w:pPr>
            <w:r>
              <w:rPr>
                <w:color w:val="000000" w:themeColor="text1"/>
              </w:rPr>
              <w:t>FASTA</w:t>
            </w:r>
          </w:p>
        </w:tc>
        <w:tc>
          <w:tcPr>
            <w:tcW w:w="6299" w:type="dxa"/>
          </w:tcPr>
          <w:p w14:paraId="20643799" w14:textId="77777777" w:rsidR="00333AC0" w:rsidRPr="001379A4" w:rsidRDefault="00333AC0" w:rsidP="00011A05">
            <w:pPr>
              <w:widowControl/>
              <w:rPr>
                <w:rFonts w:cs="Arial"/>
                <w:color w:val="000000" w:themeColor="text1"/>
                <w:szCs w:val="22"/>
              </w:rPr>
            </w:pPr>
            <w:r>
              <w:rPr>
                <w:rFonts w:cs="Arial"/>
                <w:color w:val="000000" w:themeColor="text1"/>
                <w:szCs w:val="22"/>
              </w:rPr>
              <w:t>Fast Alignment Search Tool – All</w:t>
            </w:r>
          </w:p>
        </w:tc>
      </w:tr>
      <w:tr w:rsidR="00333AC0" w:rsidRPr="00E308F0" w14:paraId="2064379D" w14:textId="77777777" w:rsidTr="00011A05">
        <w:trPr>
          <w:trHeight w:val="283"/>
        </w:trPr>
        <w:tc>
          <w:tcPr>
            <w:tcW w:w="2943" w:type="dxa"/>
          </w:tcPr>
          <w:p w14:paraId="2064379B" w14:textId="77777777" w:rsidR="00333AC0" w:rsidRPr="00A00AE1" w:rsidRDefault="00333AC0" w:rsidP="00011A05">
            <w:pPr>
              <w:widowControl/>
              <w:rPr>
                <w:color w:val="000000" w:themeColor="text1"/>
              </w:rPr>
            </w:pPr>
            <w:r>
              <w:rPr>
                <w:color w:val="000000" w:themeColor="text1"/>
              </w:rPr>
              <w:t>FPIES</w:t>
            </w:r>
          </w:p>
        </w:tc>
        <w:tc>
          <w:tcPr>
            <w:tcW w:w="6299" w:type="dxa"/>
          </w:tcPr>
          <w:p w14:paraId="2064379C" w14:textId="77777777" w:rsidR="00333AC0" w:rsidRPr="00A00AE1" w:rsidRDefault="00333AC0" w:rsidP="00011A05">
            <w:pPr>
              <w:widowControl/>
              <w:rPr>
                <w:color w:val="000000" w:themeColor="text1"/>
              </w:rPr>
            </w:pPr>
            <w:r w:rsidRPr="001379A4">
              <w:rPr>
                <w:rFonts w:cs="Arial"/>
                <w:color w:val="000000" w:themeColor="text1"/>
                <w:szCs w:val="22"/>
              </w:rPr>
              <w:t>food protein-induced enterocolitis syndrome</w:t>
            </w:r>
          </w:p>
        </w:tc>
      </w:tr>
      <w:tr w:rsidR="00333AC0" w:rsidRPr="00E308F0" w14:paraId="206437A0" w14:textId="77777777" w:rsidTr="00011A05">
        <w:trPr>
          <w:trHeight w:val="283"/>
        </w:trPr>
        <w:tc>
          <w:tcPr>
            <w:tcW w:w="2943" w:type="dxa"/>
          </w:tcPr>
          <w:p w14:paraId="2064379E" w14:textId="77777777" w:rsidR="00333AC0" w:rsidRPr="00A00AE1" w:rsidRDefault="00333AC0" w:rsidP="00011A05">
            <w:pPr>
              <w:widowControl/>
              <w:rPr>
                <w:color w:val="000000" w:themeColor="text1"/>
              </w:rPr>
            </w:pPr>
            <w:r w:rsidRPr="00A00AE1">
              <w:rPr>
                <w:color w:val="000000" w:themeColor="text1"/>
              </w:rPr>
              <w:t>FSANZ</w:t>
            </w:r>
          </w:p>
        </w:tc>
        <w:tc>
          <w:tcPr>
            <w:tcW w:w="6299" w:type="dxa"/>
          </w:tcPr>
          <w:p w14:paraId="2064379F" w14:textId="77777777" w:rsidR="00333AC0" w:rsidRPr="00A00AE1" w:rsidRDefault="00333AC0" w:rsidP="00011A05">
            <w:pPr>
              <w:widowControl/>
              <w:rPr>
                <w:color w:val="000000" w:themeColor="text1"/>
              </w:rPr>
            </w:pPr>
            <w:r w:rsidRPr="00A00AE1">
              <w:rPr>
                <w:color w:val="000000" w:themeColor="text1"/>
              </w:rPr>
              <w:t>Food Standards Australia New Zealand</w:t>
            </w:r>
          </w:p>
        </w:tc>
      </w:tr>
      <w:tr w:rsidR="00333AC0" w:rsidRPr="00E308F0" w14:paraId="206437A3" w14:textId="77777777" w:rsidTr="00011A05">
        <w:trPr>
          <w:trHeight w:val="283"/>
        </w:trPr>
        <w:tc>
          <w:tcPr>
            <w:tcW w:w="2943" w:type="dxa"/>
          </w:tcPr>
          <w:p w14:paraId="206437A1" w14:textId="77777777" w:rsidR="00333AC0" w:rsidRPr="00AC62B2" w:rsidRDefault="00333AC0" w:rsidP="00011A05">
            <w:pPr>
              <w:widowControl/>
              <w:rPr>
                <w:color w:val="000000" w:themeColor="text1"/>
              </w:rPr>
            </w:pPr>
            <w:r w:rsidRPr="00AC62B2">
              <w:rPr>
                <w:color w:val="000000" w:themeColor="text1"/>
              </w:rPr>
              <w:t>fw</w:t>
            </w:r>
          </w:p>
        </w:tc>
        <w:tc>
          <w:tcPr>
            <w:tcW w:w="6299" w:type="dxa"/>
          </w:tcPr>
          <w:p w14:paraId="206437A2" w14:textId="77777777" w:rsidR="00333AC0" w:rsidRPr="00AC62B2" w:rsidRDefault="00333AC0" w:rsidP="00011A05">
            <w:pPr>
              <w:widowControl/>
              <w:rPr>
                <w:color w:val="000000" w:themeColor="text1"/>
              </w:rPr>
            </w:pPr>
            <w:r w:rsidRPr="00AC62B2">
              <w:rPr>
                <w:color w:val="000000" w:themeColor="text1"/>
              </w:rPr>
              <w:t>fresh weight</w:t>
            </w:r>
          </w:p>
        </w:tc>
      </w:tr>
      <w:tr w:rsidR="00333AC0" w:rsidRPr="00E308F0" w14:paraId="206437A6" w14:textId="77777777" w:rsidTr="00011A05">
        <w:trPr>
          <w:trHeight w:val="283"/>
        </w:trPr>
        <w:tc>
          <w:tcPr>
            <w:tcW w:w="2943" w:type="dxa"/>
          </w:tcPr>
          <w:p w14:paraId="206437A4" w14:textId="77777777" w:rsidR="00333AC0" w:rsidRPr="00AC62B2" w:rsidRDefault="00333AC0" w:rsidP="00011A05">
            <w:pPr>
              <w:widowControl/>
              <w:rPr>
                <w:color w:val="000000" w:themeColor="text1"/>
              </w:rPr>
            </w:pPr>
            <w:r w:rsidRPr="00AC62B2">
              <w:rPr>
                <w:color w:val="000000" w:themeColor="text1"/>
              </w:rPr>
              <w:t>g</w:t>
            </w:r>
          </w:p>
        </w:tc>
        <w:tc>
          <w:tcPr>
            <w:tcW w:w="6299" w:type="dxa"/>
          </w:tcPr>
          <w:p w14:paraId="206437A5" w14:textId="77777777" w:rsidR="00333AC0" w:rsidRPr="00AC62B2" w:rsidRDefault="00333AC0" w:rsidP="00011A05">
            <w:pPr>
              <w:widowControl/>
              <w:rPr>
                <w:color w:val="000000" w:themeColor="text1"/>
              </w:rPr>
            </w:pPr>
            <w:r w:rsidRPr="00AC62B2">
              <w:rPr>
                <w:color w:val="000000" w:themeColor="text1"/>
              </w:rPr>
              <w:t>gram</w:t>
            </w:r>
          </w:p>
        </w:tc>
      </w:tr>
      <w:tr w:rsidR="00333AC0" w:rsidRPr="00E308F0" w14:paraId="206437A9" w14:textId="77777777" w:rsidTr="00011A05">
        <w:trPr>
          <w:trHeight w:val="283"/>
        </w:trPr>
        <w:tc>
          <w:tcPr>
            <w:tcW w:w="2943" w:type="dxa"/>
          </w:tcPr>
          <w:p w14:paraId="206437A7" w14:textId="77777777" w:rsidR="00333AC0" w:rsidRPr="006607C4" w:rsidRDefault="00333AC0" w:rsidP="00011A05">
            <w:pPr>
              <w:widowControl/>
              <w:rPr>
                <w:color w:val="000000" w:themeColor="text1"/>
              </w:rPr>
            </w:pPr>
            <w:r>
              <w:rPr>
                <w:color w:val="000000" w:themeColor="text1"/>
              </w:rPr>
              <w:t>GGPP</w:t>
            </w:r>
          </w:p>
        </w:tc>
        <w:tc>
          <w:tcPr>
            <w:tcW w:w="6299" w:type="dxa"/>
          </w:tcPr>
          <w:p w14:paraId="206437A8" w14:textId="77777777" w:rsidR="00333AC0" w:rsidRPr="006607C4" w:rsidRDefault="00333AC0" w:rsidP="00011A05">
            <w:pPr>
              <w:widowControl/>
              <w:rPr>
                <w:color w:val="000000" w:themeColor="text1"/>
              </w:rPr>
            </w:pPr>
            <w:r>
              <w:rPr>
                <w:rFonts w:cs="Arial"/>
                <w:szCs w:val="22"/>
                <w:lang w:eastAsia="en-GB" w:bidi="ar-SA"/>
              </w:rPr>
              <w:t>geranylgeranyl diphosphate</w:t>
            </w:r>
          </w:p>
        </w:tc>
      </w:tr>
      <w:tr w:rsidR="00333AC0" w:rsidRPr="00E308F0" w14:paraId="206437AC" w14:textId="77777777" w:rsidTr="00011A05">
        <w:trPr>
          <w:trHeight w:val="283"/>
        </w:trPr>
        <w:tc>
          <w:tcPr>
            <w:tcW w:w="2943" w:type="dxa"/>
          </w:tcPr>
          <w:p w14:paraId="206437AA" w14:textId="77777777" w:rsidR="00333AC0" w:rsidRPr="006607C4" w:rsidRDefault="00333AC0" w:rsidP="00011A05">
            <w:pPr>
              <w:widowControl/>
              <w:rPr>
                <w:color w:val="000000" w:themeColor="text1"/>
              </w:rPr>
            </w:pPr>
            <w:r>
              <w:rPr>
                <w:color w:val="000000" w:themeColor="text1"/>
              </w:rPr>
              <w:t>gluA-2</w:t>
            </w:r>
          </w:p>
        </w:tc>
        <w:tc>
          <w:tcPr>
            <w:tcW w:w="6299" w:type="dxa"/>
          </w:tcPr>
          <w:p w14:paraId="206437AB" w14:textId="77777777" w:rsidR="00333AC0" w:rsidRPr="006607C4" w:rsidRDefault="00333AC0" w:rsidP="00011A05">
            <w:pPr>
              <w:widowControl/>
              <w:rPr>
                <w:color w:val="000000" w:themeColor="text1"/>
              </w:rPr>
            </w:pPr>
            <w:r>
              <w:rPr>
                <w:color w:val="000000" w:themeColor="text1"/>
              </w:rPr>
              <w:t>glutelin</w:t>
            </w:r>
          </w:p>
        </w:tc>
      </w:tr>
      <w:tr w:rsidR="00333AC0" w:rsidRPr="00E308F0" w14:paraId="206437AF" w14:textId="77777777" w:rsidTr="00011A05">
        <w:trPr>
          <w:trHeight w:val="283"/>
        </w:trPr>
        <w:tc>
          <w:tcPr>
            <w:tcW w:w="2943" w:type="dxa"/>
          </w:tcPr>
          <w:p w14:paraId="206437AD" w14:textId="77777777" w:rsidR="00333AC0" w:rsidRPr="006607C4" w:rsidRDefault="00333AC0" w:rsidP="00011A05">
            <w:pPr>
              <w:widowControl/>
              <w:rPr>
                <w:color w:val="000000" w:themeColor="text1"/>
              </w:rPr>
            </w:pPr>
            <w:r w:rsidRPr="006607C4">
              <w:rPr>
                <w:color w:val="000000" w:themeColor="text1"/>
              </w:rPr>
              <w:t>GM</w:t>
            </w:r>
          </w:p>
        </w:tc>
        <w:tc>
          <w:tcPr>
            <w:tcW w:w="6299" w:type="dxa"/>
          </w:tcPr>
          <w:p w14:paraId="206437AE" w14:textId="77777777" w:rsidR="00333AC0" w:rsidRPr="006607C4" w:rsidRDefault="00333AC0" w:rsidP="00011A05">
            <w:pPr>
              <w:widowControl/>
              <w:rPr>
                <w:color w:val="000000" w:themeColor="text1"/>
              </w:rPr>
            </w:pPr>
            <w:r w:rsidRPr="006607C4">
              <w:rPr>
                <w:color w:val="000000" w:themeColor="text1"/>
              </w:rPr>
              <w:t>genetically modified</w:t>
            </w:r>
          </w:p>
        </w:tc>
      </w:tr>
      <w:tr w:rsidR="00333AC0" w:rsidRPr="00E308F0" w14:paraId="206437B2" w14:textId="77777777" w:rsidTr="00011A05">
        <w:trPr>
          <w:trHeight w:val="283"/>
        </w:trPr>
        <w:tc>
          <w:tcPr>
            <w:tcW w:w="2943" w:type="dxa"/>
          </w:tcPr>
          <w:p w14:paraId="206437B0" w14:textId="77777777" w:rsidR="00333AC0" w:rsidRPr="006607C4" w:rsidRDefault="00333AC0" w:rsidP="00011A05">
            <w:pPr>
              <w:widowControl/>
              <w:rPr>
                <w:color w:val="000000" w:themeColor="text1"/>
              </w:rPr>
            </w:pPr>
            <w:r>
              <w:rPr>
                <w:color w:val="000000" w:themeColor="text1"/>
              </w:rPr>
              <w:t>HPLC</w:t>
            </w:r>
          </w:p>
        </w:tc>
        <w:tc>
          <w:tcPr>
            <w:tcW w:w="6299" w:type="dxa"/>
          </w:tcPr>
          <w:p w14:paraId="206437B1" w14:textId="77777777" w:rsidR="00333AC0" w:rsidRPr="00AC62B2" w:rsidRDefault="00333AC0" w:rsidP="00011A05">
            <w:pPr>
              <w:widowControl/>
              <w:rPr>
                <w:color w:val="000000" w:themeColor="text1"/>
              </w:rPr>
            </w:pPr>
            <w:r w:rsidRPr="00AC62B2">
              <w:rPr>
                <w:color w:val="000000" w:themeColor="text1"/>
              </w:rPr>
              <w:t>high performance liquid chromatography</w:t>
            </w:r>
          </w:p>
        </w:tc>
      </w:tr>
      <w:tr w:rsidR="00333AC0" w:rsidRPr="00E308F0" w14:paraId="206437B5" w14:textId="77777777" w:rsidTr="00011A05">
        <w:trPr>
          <w:trHeight w:val="283"/>
        </w:trPr>
        <w:tc>
          <w:tcPr>
            <w:tcW w:w="2943" w:type="dxa"/>
          </w:tcPr>
          <w:p w14:paraId="206437B3" w14:textId="77777777" w:rsidR="00333AC0" w:rsidRDefault="00333AC0" w:rsidP="00011A05">
            <w:pPr>
              <w:widowControl/>
              <w:rPr>
                <w:color w:val="000000" w:themeColor="text1"/>
              </w:rPr>
            </w:pPr>
            <w:r>
              <w:rPr>
                <w:color w:val="000000" w:themeColor="text1"/>
              </w:rPr>
              <w:t>HRP</w:t>
            </w:r>
          </w:p>
        </w:tc>
        <w:tc>
          <w:tcPr>
            <w:tcW w:w="6299" w:type="dxa"/>
          </w:tcPr>
          <w:p w14:paraId="206437B4" w14:textId="77777777" w:rsidR="00333AC0" w:rsidRPr="00956074" w:rsidRDefault="00333AC0" w:rsidP="00011A05">
            <w:pPr>
              <w:widowControl/>
              <w:rPr>
                <w:rFonts w:cs="Arial"/>
                <w:color w:val="000000" w:themeColor="text1"/>
                <w:szCs w:val="22"/>
              </w:rPr>
            </w:pPr>
            <w:r w:rsidRPr="00EB6B9E">
              <w:rPr>
                <w:rFonts w:ascii="CharterBT-Roman" w:hAnsi="CharterBT-Roman" w:cs="CharterBT-Roman"/>
                <w:szCs w:val="22"/>
                <w:lang w:eastAsia="en-GB" w:bidi="ar-SA"/>
              </w:rPr>
              <w:t>horseradish peroxidase</w:t>
            </w:r>
          </w:p>
        </w:tc>
      </w:tr>
      <w:tr w:rsidR="00333AC0" w:rsidRPr="00E308F0" w14:paraId="206437B8" w14:textId="77777777" w:rsidTr="00011A05">
        <w:trPr>
          <w:trHeight w:val="283"/>
        </w:trPr>
        <w:tc>
          <w:tcPr>
            <w:tcW w:w="2943" w:type="dxa"/>
          </w:tcPr>
          <w:p w14:paraId="206437B6" w14:textId="77777777" w:rsidR="00333AC0" w:rsidRDefault="00333AC0" w:rsidP="00011A05">
            <w:pPr>
              <w:widowControl/>
              <w:rPr>
                <w:color w:val="000000" w:themeColor="text1"/>
              </w:rPr>
            </w:pPr>
            <w:r>
              <w:rPr>
                <w:color w:val="000000" w:themeColor="text1"/>
              </w:rPr>
              <w:t>IgE</w:t>
            </w:r>
          </w:p>
        </w:tc>
        <w:tc>
          <w:tcPr>
            <w:tcW w:w="6299" w:type="dxa"/>
          </w:tcPr>
          <w:p w14:paraId="206437B7" w14:textId="77777777" w:rsidR="00333AC0" w:rsidRDefault="00333AC0" w:rsidP="00011A05">
            <w:pPr>
              <w:widowControl/>
              <w:rPr>
                <w:color w:val="000000" w:themeColor="text1"/>
              </w:rPr>
            </w:pPr>
            <w:r w:rsidRPr="00956074">
              <w:rPr>
                <w:rFonts w:cs="Arial"/>
                <w:color w:val="000000" w:themeColor="text1"/>
                <w:szCs w:val="22"/>
              </w:rPr>
              <w:t>Immunoglobulin E</w:t>
            </w:r>
          </w:p>
        </w:tc>
      </w:tr>
      <w:tr w:rsidR="00333AC0" w:rsidRPr="00E308F0" w14:paraId="206437BB" w14:textId="77777777" w:rsidTr="00011A05">
        <w:trPr>
          <w:trHeight w:val="283"/>
        </w:trPr>
        <w:tc>
          <w:tcPr>
            <w:tcW w:w="2943" w:type="dxa"/>
          </w:tcPr>
          <w:p w14:paraId="206437B9" w14:textId="77777777" w:rsidR="00333AC0" w:rsidRPr="006607C4" w:rsidRDefault="00333AC0" w:rsidP="00011A05">
            <w:pPr>
              <w:widowControl/>
              <w:rPr>
                <w:color w:val="000000" w:themeColor="text1"/>
              </w:rPr>
            </w:pPr>
            <w:r>
              <w:rPr>
                <w:color w:val="000000" w:themeColor="text1"/>
              </w:rPr>
              <w:t>IPP</w:t>
            </w:r>
          </w:p>
        </w:tc>
        <w:tc>
          <w:tcPr>
            <w:tcW w:w="6299" w:type="dxa"/>
          </w:tcPr>
          <w:p w14:paraId="206437BA" w14:textId="77777777" w:rsidR="00333AC0" w:rsidRDefault="00333AC0" w:rsidP="00011A05">
            <w:pPr>
              <w:widowControl/>
              <w:rPr>
                <w:color w:val="000000" w:themeColor="text1"/>
              </w:rPr>
            </w:pPr>
            <w:r>
              <w:rPr>
                <w:color w:val="000000" w:themeColor="text1"/>
              </w:rPr>
              <w:t>isopentenyl diphosphate</w:t>
            </w:r>
          </w:p>
        </w:tc>
      </w:tr>
      <w:tr w:rsidR="00333AC0" w:rsidRPr="00E308F0" w14:paraId="206437BE" w14:textId="77777777" w:rsidTr="00011A05">
        <w:trPr>
          <w:trHeight w:val="283"/>
        </w:trPr>
        <w:tc>
          <w:tcPr>
            <w:tcW w:w="2943" w:type="dxa"/>
          </w:tcPr>
          <w:p w14:paraId="206437BC" w14:textId="77777777" w:rsidR="00333AC0" w:rsidRPr="006607C4" w:rsidRDefault="00333AC0" w:rsidP="00011A05">
            <w:pPr>
              <w:widowControl/>
              <w:rPr>
                <w:color w:val="000000" w:themeColor="text1"/>
              </w:rPr>
            </w:pPr>
            <w:r w:rsidRPr="006607C4">
              <w:rPr>
                <w:color w:val="000000" w:themeColor="text1"/>
              </w:rPr>
              <w:t>IRRI</w:t>
            </w:r>
          </w:p>
        </w:tc>
        <w:tc>
          <w:tcPr>
            <w:tcW w:w="6299" w:type="dxa"/>
          </w:tcPr>
          <w:p w14:paraId="206437BD" w14:textId="77777777" w:rsidR="00333AC0" w:rsidRPr="006607C4" w:rsidRDefault="00333AC0" w:rsidP="00011A05">
            <w:pPr>
              <w:widowControl/>
              <w:rPr>
                <w:color w:val="000000" w:themeColor="text1"/>
              </w:rPr>
            </w:pPr>
            <w:r>
              <w:rPr>
                <w:color w:val="000000" w:themeColor="text1"/>
              </w:rPr>
              <w:t>International Rice R</w:t>
            </w:r>
            <w:r w:rsidRPr="006607C4">
              <w:rPr>
                <w:color w:val="000000" w:themeColor="text1"/>
              </w:rPr>
              <w:t>esearch Institute</w:t>
            </w:r>
          </w:p>
        </w:tc>
      </w:tr>
      <w:tr w:rsidR="00333AC0" w:rsidRPr="00E308F0" w14:paraId="206437C1" w14:textId="77777777" w:rsidTr="00011A05">
        <w:trPr>
          <w:trHeight w:val="283"/>
        </w:trPr>
        <w:tc>
          <w:tcPr>
            <w:tcW w:w="2943" w:type="dxa"/>
          </w:tcPr>
          <w:p w14:paraId="206437BF" w14:textId="77777777" w:rsidR="00333AC0" w:rsidRPr="00FC25C9" w:rsidRDefault="00333AC0" w:rsidP="00011A05">
            <w:pPr>
              <w:widowControl/>
              <w:rPr>
                <w:color w:val="000000" w:themeColor="text1"/>
              </w:rPr>
            </w:pPr>
            <w:r w:rsidRPr="00FC25C9">
              <w:rPr>
                <w:color w:val="000000" w:themeColor="text1"/>
              </w:rPr>
              <w:t>kb</w:t>
            </w:r>
          </w:p>
        </w:tc>
        <w:tc>
          <w:tcPr>
            <w:tcW w:w="6299" w:type="dxa"/>
          </w:tcPr>
          <w:p w14:paraId="206437C0" w14:textId="77777777" w:rsidR="00333AC0" w:rsidRPr="00FC25C9" w:rsidRDefault="00333AC0" w:rsidP="00011A05">
            <w:pPr>
              <w:widowControl/>
              <w:rPr>
                <w:color w:val="000000" w:themeColor="text1"/>
              </w:rPr>
            </w:pPr>
            <w:r w:rsidRPr="00FC25C9">
              <w:rPr>
                <w:color w:val="000000" w:themeColor="text1"/>
              </w:rPr>
              <w:t>kilo base</w:t>
            </w:r>
          </w:p>
        </w:tc>
      </w:tr>
      <w:tr w:rsidR="00333AC0" w:rsidRPr="00E308F0" w14:paraId="206437C4" w14:textId="77777777" w:rsidTr="00011A05">
        <w:trPr>
          <w:trHeight w:val="283"/>
        </w:trPr>
        <w:tc>
          <w:tcPr>
            <w:tcW w:w="2943" w:type="dxa"/>
          </w:tcPr>
          <w:p w14:paraId="206437C2" w14:textId="77777777" w:rsidR="00333AC0" w:rsidRPr="00A00AE1" w:rsidRDefault="00333AC0" w:rsidP="00011A05">
            <w:pPr>
              <w:widowControl/>
              <w:rPr>
                <w:color w:val="000000" w:themeColor="text1"/>
              </w:rPr>
            </w:pPr>
            <w:r w:rsidRPr="00A00AE1">
              <w:rPr>
                <w:color w:val="000000" w:themeColor="text1"/>
              </w:rPr>
              <w:t>kDa</w:t>
            </w:r>
          </w:p>
        </w:tc>
        <w:tc>
          <w:tcPr>
            <w:tcW w:w="6299" w:type="dxa"/>
          </w:tcPr>
          <w:p w14:paraId="206437C3" w14:textId="77777777" w:rsidR="00333AC0" w:rsidRPr="00A00AE1" w:rsidRDefault="00333AC0" w:rsidP="00011A05">
            <w:pPr>
              <w:widowControl/>
              <w:rPr>
                <w:color w:val="000000" w:themeColor="text1"/>
              </w:rPr>
            </w:pPr>
            <w:r>
              <w:rPr>
                <w:color w:val="000000" w:themeColor="text1"/>
              </w:rPr>
              <w:t>k</w:t>
            </w:r>
            <w:r w:rsidRPr="00A00AE1">
              <w:rPr>
                <w:color w:val="000000" w:themeColor="text1"/>
              </w:rPr>
              <w:t>ilo Dalton</w:t>
            </w:r>
          </w:p>
        </w:tc>
      </w:tr>
      <w:tr w:rsidR="00333AC0" w:rsidRPr="00E308F0" w14:paraId="206437C7" w14:textId="77777777" w:rsidTr="00011A05">
        <w:trPr>
          <w:trHeight w:val="283"/>
        </w:trPr>
        <w:tc>
          <w:tcPr>
            <w:tcW w:w="2943" w:type="dxa"/>
          </w:tcPr>
          <w:p w14:paraId="206437C5" w14:textId="77777777" w:rsidR="00333AC0" w:rsidRDefault="00333AC0" w:rsidP="00011A05">
            <w:pPr>
              <w:widowControl/>
              <w:rPr>
                <w:color w:val="000000" w:themeColor="text1"/>
              </w:rPr>
            </w:pPr>
            <w:r>
              <w:rPr>
                <w:color w:val="000000" w:themeColor="text1"/>
              </w:rPr>
              <w:t>kg</w:t>
            </w:r>
          </w:p>
        </w:tc>
        <w:tc>
          <w:tcPr>
            <w:tcW w:w="6299" w:type="dxa"/>
          </w:tcPr>
          <w:p w14:paraId="206437C6" w14:textId="77777777" w:rsidR="00333AC0" w:rsidRDefault="00333AC0" w:rsidP="00011A05">
            <w:pPr>
              <w:widowControl/>
              <w:rPr>
                <w:rFonts w:ascii="CharterBT-Roman" w:hAnsi="CharterBT-Roman" w:cs="CharterBT-Roman"/>
                <w:szCs w:val="22"/>
                <w:lang w:eastAsia="en-GB" w:bidi="ar-SA"/>
              </w:rPr>
            </w:pPr>
            <w:r>
              <w:rPr>
                <w:rFonts w:ascii="CharterBT-Roman" w:hAnsi="CharterBT-Roman" w:cs="CharterBT-Roman"/>
                <w:szCs w:val="22"/>
                <w:lang w:eastAsia="en-GB" w:bidi="ar-SA"/>
              </w:rPr>
              <w:t>kilogram</w:t>
            </w:r>
          </w:p>
        </w:tc>
      </w:tr>
      <w:tr w:rsidR="00333AC0" w:rsidRPr="00E308F0" w14:paraId="206437CA" w14:textId="77777777" w:rsidTr="00011A05">
        <w:trPr>
          <w:trHeight w:val="283"/>
        </w:trPr>
        <w:tc>
          <w:tcPr>
            <w:tcW w:w="2943" w:type="dxa"/>
          </w:tcPr>
          <w:p w14:paraId="206437C8" w14:textId="77777777" w:rsidR="00333AC0" w:rsidRPr="00A00AE1" w:rsidRDefault="00333AC0" w:rsidP="00011A05">
            <w:pPr>
              <w:widowControl/>
              <w:rPr>
                <w:color w:val="000000" w:themeColor="text1"/>
              </w:rPr>
            </w:pPr>
            <w:r>
              <w:rPr>
                <w:color w:val="000000" w:themeColor="text1"/>
              </w:rPr>
              <w:t>LAAO</w:t>
            </w:r>
          </w:p>
        </w:tc>
        <w:tc>
          <w:tcPr>
            <w:tcW w:w="6299" w:type="dxa"/>
          </w:tcPr>
          <w:p w14:paraId="206437C9" w14:textId="77777777" w:rsidR="00333AC0" w:rsidRPr="00A00AE1" w:rsidRDefault="00333AC0" w:rsidP="00011A05">
            <w:pPr>
              <w:widowControl/>
              <w:rPr>
                <w:color w:val="000000" w:themeColor="text1"/>
              </w:rPr>
            </w:pPr>
            <w:r>
              <w:rPr>
                <w:rFonts w:ascii="CharterBT-Roman" w:hAnsi="CharterBT-Roman" w:cs="CharterBT-Roman"/>
                <w:szCs w:val="22"/>
                <w:lang w:eastAsia="en-GB" w:bidi="ar-SA"/>
              </w:rPr>
              <w:t>L-amino acid oxidase</w:t>
            </w:r>
          </w:p>
        </w:tc>
      </w:tr>
      <w:tr w:rsidR="00333AC0" w:rsidRPr="00E308F0" w14:paraId="206437CD" w14:textId="77777777" w:rsidTr="00011A05">
        <w:trPr>
          <w:trHeight w:val="283"/>
        </w:trPr>
        <w:tc>
          <w:tcPr>
            <w:tcW w:w="2943" w:type="dxa"/>
          </w:tcPr>
          <w:p w14:paraId="206437CB" w14:textId="77777777" w:rsidR="00333AC0" w:rsidRPr="00A00AE1" w:rsidRDefault="00333AC0" w:rsidP="00011A05">
            <w:pPr>
              <w:widowControl/>
              <w:rPr>
                <w:color w:val="000000" w:themeColor="text1"/>
              </w:rPr>
            </w:pPr>
            <w:r w:rsidRPr="00A00AE1">
              <w:rPr>
                <w:color w:val="000000" w:themeColor="text1"/>
              </w:rPr>
              <w:t>LB</w:t>
            </w:r>
          </w:p>
        </w:tc>
        <w:tc>
          <w:tcPr>
            <w:tcW w:w="6299" w:type="dxa"/>
          </w:tcPr>
          <w:p w14:paraId="206437CC" w14:textId="77777777" w:rsidR="00333AC0" w:rsidRPr="00A00AE1" w:rsidRDefault="00333AC0" w:rsidP="00011A05">
            <w:pPr>
              <w:widowControl/>
              <w:rPr>
                <w:color w:val="000000" w:themeColor="text1"/>
              </w:rPr>
            </w:pPr>
            <w:r w:rsidRPr="00A00AE1">
              <w:rPr>
                <w:color w:val="000000" w:themeColor="text1"/>
              </w:rPr>
              <w:t>Left Border of T-DNA (</w:t>
            </w:r>
            <w:r w:rsidRPr="00A00AE1">
              <w:rPr>
                <w:i/>
                <w:color w:val="000000" w:themeColor="text1"/>
              </w:rPr>
              <w:t>Agrobacterium tumefaciens</w:t>
            </w:r>
            <w:r w:rsidRPr="00A00AE1">
              <w:rPr>
                <w:color w:val="000000" w:themeColor="text1"/>
              </w:rPr>
              <w:t>)</w:t>
            </w:r>
          </w:p>
        </w:tc>
      </w:tr>
      <w:tr w:rsidR="00333AC0" w:rsidRPr="00E308F0" w14:paraId="206437D0" w14:textId="77777777" w:rsidTr="00011A05">
        <w:trPr>
          <w:trHeight w:val="283"/>
        </w:trPr>
        <w:tc>
          <w:tcPr>
            <w:tcW w:w="2943" w:type="dxa"/>
          </w:tcPr>
          <w:p w14:paraId="206437CE" w14:textId="77777777" w:rsidR="00333AC0" w:rsidRPr="00AC62B2" w:rsidRDefault="00333AC0" w:rsidP="00011A05">
            <w:pPr>
              <w:widowControl/>
              <w:rPr>
                <w:color w:val="000000" w:themeColor="text1"/>
              </w:rPr>
            </w:pPr>
            <w:r>
              <w:rPr>
                <w:color w:val="000000" w:themeColor="text1"/>
              </w:rPr>
              <w:t>LOQ</w:t>
            </w:r>
          </w:p>
        </w:tc>
        <w:tc>
          <w:tcPr>
            <w:tcW w:w="6299" w:type="dxa"/>
          </w:tcPr>
          <w:p w14:paraId="206437CF" w14:textId="77777777" w:rsidR="00333AC0" w:rsidRPr="00AC62B2" w:rsidRDefault="00333AC0" w:rsidP="00011A05">
            <w:pPr>
              <w:widowControl/>
              <w:rPr>
                <w:color w:val="000000" w:themeColor="text1"/>
              </w:rPr>
            </w:pPr>
            <w:r>
              <w:rPr>
                <w:color w:val="000000" w:themeColor="text1"/>
              </w:rPr>
              <w:t>limit of quantification</w:t>
            </w:r>
          </w:p>
        </w:tc>
      </w:tr>
      <w:tr w:rsidR="00333AC0" w:rsidRPr="00E308F0" w14:paraId="206437D3" w14:textId="77777777" w:rsidTr="00011A05">
        <w:trPr>
          <w:trHeight w:val="283"/>
        </w:trPr>
        <w:tc>
          <w:tcPr>
            <w:tcW w:w="2943" w:type="dxa"/>
          </w:tcPr>
          <w:p w14:paraId="206437D1" w14:textId="77777777" w:rsidR="00333AC0" w:rsidRPr="00AC62B2" w:rsidRDefault="00333AC0" w:rsidP="00011A05">
            <w:pPr>
              <w:widowControl/>
              <w:rPr>
                <w:color w:val="000000" w:themeColor="text1"/>
              </w:rPr>
            </w:pPr>
            <w:r>
              <w:rPr>
                <w:color w:val="000000" w:themeColor="text1"/>
              </w:rPr>
              <w:t>MALDI-TOF MS/MS</w:t>
            </w:r>
          </w:p>
        </w:tc>
        <w:tc>
          <w:tcPr>
            <w:tcW w:w="6299" w:type="dxa"/>
          </w:tcPr>
          <w:p w14:paraId="206437D2" w14:textId="77777777" w:rsidR="00333AC0" w:rsidRPr="00AC62B2" w:rsidRDefault="00333AC0" w:rsidP="00011A05">
            <w:pPr>
              <w:widowControl/>
              <w:rPr>
                <w:color w:val="000000" w:themeColor="text1"/>
              </w:rPr>
            </w:pPr>
            <w:r>
              <w:t>m</w:t>
            </w:r>
            <w:r w:rsidRPr="00AC62B2">
              <w:t>atrix-assisted laser desorption/ionisation time of flight tandem mass spectrometry</w:t>
            </w:r>
          </w:p>
        </w:tc>
      </w:tr>
      <w:tr w:rsidR="00333AC0" w:rsidRPr="00E308F0" w14:paraId="206437D6" w14:textId="77777777" w:rsidTr="00011A05">
        <w:trPr>
          <w:trHeight w:val="283"/>
        </w:trPr>
        <w:tc>
          <w:tcPr>
            <w:tcW w:w="2943" w:type="dxa"/>
          </w:tcPr>
          <w:p w14:paraId="206437D4" w14:textId="77777777" w:rsidR="00333AC0" w:rsidRPr="00AC62B2" w:rsidRDefault="00333AC0" w:rsidP="00011A05">
            <w:pPr>
              <w:widowControl/>
              <w:rPr>
                <w:color w:val="000000" w:themeColor="text1"/>
              </w:rPr>
            </w:pPr>
            <w:r w:rsidRPr="00AC62B2">
              <w:rPr>
                <w:color w:val="000000" w:themeColor="text1"/>
              </w:rPr>
              <w:t>mg</w:t>
            </w:r>
          </w:p>
        </w:tc>
        <w:tc>
          <w:tcPr>
            <w:tcW w:w="6299" w:type="dxa"/>
          </w:tcPr>
          <w:p w14:paraId="206437D5" w14:textId="77777777" w:rsidR="00333AC0" w:rsidRPr="00AC62B2" w:rsidRDefault="00333AC0" w:rsidP="00011A05">
            <w:pPr>
              <w:widowControl/>
              <w:rPr>
                <w:color w:val="000000" w:themeColor="text1"/>
              </w:rPr>
            </w:pPr>
            <w:r w:rsidRPr="00AC62B2">
              <w:rPr>
                <w:color w:val="000000" w:themeColor="text1"/>
              </w:rPr>
              <w:t>milligram</w:t>
            </w:r>
          </w:p>
        </w:tc>
      </w:tr>
      <w:tr w:rsidR="00333AC0" w:rsidRPr="00E308F0" w14:paraId="206437D9" w14:textId="77777777" w:rsidTr="00011A05">
        <w:trPr>
          <w:trHeight w:val="283"/>
        </w:trPr>
        <w:tc>
          <w:tcPr>
            <w:tcW w:w="2943" w:type="dxa"/>
          </w:tcPr>
          <w:p w14:paraId="206437D7" w14:textId="77777777" w:rsidR="00333AC0" w:rsidRPr="00A00AE1" w:rsidRDefault="00333AC0" w:rsidP="00011A05">
            <w:pPr>
              <w:widowControl/>
              <w:rPr>
                <w:color w:val="000000" w:themeColor="text1"/>
              </w:rPr>
            </w:pPr>
            <w:r w:rsidRPr="00A00AE1">
              <w:rPr>
                <w:color w:val="000000" w:themeColor="text1"/>
              </w:rPr>
              <w:t>MT</w:t>
            </w:r>
          </w:p>
        </w:tc>
        <w:tc>
          <w:tcPr>
            <w:tcW w:w="6299" w:type="dxa"/>
          </w:tcPr>
          <w:p w14:paraId="206437D8" w14:textId="77777777" w:rsidR="00333AC0" w:rsidRPr="00A00AE1" w:rsidRDefault="00333AC0" w:rsidP="00011A05">
            <w:pPr>
              <w:widowControl/>
              <w:rPr>
                <w:color w:val="000000" w:themeColor="text1"/>
              </w:rPr>
            </w:pPr>
            <w:r w:rsidRPr="00A00AE1">
              <w:rPr>
                <w:color w:val="000000" w:themeColor="text1"/>
              </w:rPr>
              <w:t>Million tonnes</w:t>
            </w:r>
          </w:p>
        </w:tc>
      </w:tr>
      <w:tr w:rsidR="00333AC0" w:rsidRPr="00E308F0" w14:paraId="206437DC" w14:textId="77777777" w:rsidTr="00011A05">
        <w:trPr>
          <w:trHeight w:val="283"/>
        </w:trPr>
        <w:tc>
          <w:tcPr>
            <w:tcW w:w="2943" w:type="dxa"/>
          </w:tcPr>
          <w:p w14:paraId="206437DA" w14:textId="77777777" w:rsidR="00333AC0" w:rsidRPr="00FC25C9" w:rsidRDefault="00333AC0" w:rsidP="00011A05">
            <w:pPr>
              <w:widowControl/>
              <w:rPr>
                <w:color w:val="000000" w:themeColor="text1"/>
              </w:rPr>
            </w:pPr>
            <w:r w:rsidRPr="00FC25C9">
              <w:rPr>
                <w:color w:val="000000" w:themeColor="text1"/>
              </w:rPr>
              <w:t>NCBI</w:t>
            </w:r>
          </w:p>
        </w:tc>
        <w:tc>
          <w:tcPr>
            <w:tcW w:w="6299" w:type="dxa"/>
          </w:tcPr>
          <w:p w14:paraId="206437DB" w14:textId="77777777" w:rsidR="00333AC0" w:rsidRPr="00FC25C9" w:rsidRDefault="00333AC0" w:rsidP="00011A05">
            <w:pPr>
              <w:widowControl/>
              <w:rPr>
                <w:color w:val="000000" w:themeColor="text1"/>
              </w:rPr>
            </w:pPr>
            <w:r w:rsidRPr="00FC25C9">
              <w:rPr>
                <w:color w:val="000000" w:themeColor="text1"/>
              </w:rPr>
              <w:t>National Centre for Biotechnology Information</w:t>
            </w:r>
          </w:p>
        </w:tc>
      </w:tr>
      <w:tr w:rsidR="00333AC0" w:rsidRPr="00E308F0" w14:paraId="206437DF" w14:textId="77777777" w:rsidTr="00011A05">
        <w:trPr>
          <w:trHeight w:val="283"/>
        </w:trPr>
        <w:tc>
          <w:tcPr>
            <w:tcW w:w="2943" w:type="dxa"/>
          </w:tcPr>
          <w:p w14:paraId="206437DD" w14:textId="77777777" w:rsidR="00333AC0" w:rsidRDefault="00333AC0" w:rsidP="00011A05">
            <w:pPr>
              <w:widowControl/>
              <w:rPr>
                <w:color w:val="000000" w:themeColor="text1"/>
              </w:rPr>
            </w:pPr>
            <w:r>
              <w:rPr>
                <w:color w:val="000000" w:themeColor="text1"/>
              </w:rPr>
              <w:t>ng</w:t>
            </w:r>
          </w:p>
        </w:tc>
        <w:tc>
          <w:tcPr>
            <w:tcW w:w="6299" w:type="dxa"/>
          </w:tcPr>
          <w:p w14:paraId="206437DE" w14:textId="77777777" w:rsidR="00333AC0" w:rsidRDefault="00333AC0" w:rsidP="00011A05">
            <w:pPr>
              <w:widowControl/>
              <w:rPr>
                <w:color w:val="000000" w:themeColor="text1"/>
              </w:rPr>
            </w:pPr>
            <w:r>
              <w:rPr>
                <w:color w:val="000000" w:themeColor="text1"/>
              </w:rPr>
              <w:t>nannogram</w:t>
            </w:r>
          </w:p>
        </w:tc>
      </w:tr>
      <w:tr w:rsidR="00333AC0" w:rsidRPr="00E308F0" w14:paraId="206437E2" w14:textId="77777777" w:rsidTr="00011A05">
        <w:trPr>
          <w:trHeight w:val="283"/>
        </w:trPr>
        <w:tc>
          <w:tcPr>
            <w:tcW w:w="2943" w:type="dxa"/>
          </w:tcPr>
          <w:p w14:paraId="206437E0" w14:textId="77777777" w:rsidR="00333AC0" w:rsidRPr="006607C4" w:rsidRDefault="00333AC0" w:rsidP="00011A05">
            <w:pPr>
              <w:widowControl/>
              <w:rPr>
                <w:color w:val="000000" w:themeColor="text1"/>
              </w:rPr>
            </w:pPr>
            <w:r>
              <w:rPr>
                <w:color w:val="000000" w:themeColor="text1"/>
              </w:rPr>
              <w:t>NOS</w:t>
            </w:r>
          </w:p>
        </w:tc>
        <w:tc>
          <w:tcPr>
            <w:tcW w:w="6299" w:type="dxa"/>
          </w:tcPr>
          <w:p w14:paraId="206437E1" w14:textId="77777777" w:rsidR="00333AC0" w:rsidRPr="006607C4" w:rsidRDefault="00333AC0" w:rsidP="00011A05">
            <w:pPr>
              <w:widowControl/>
              <w:rPr>
                <w:color w:val="000000" w:themeColor="text1"/>
              </w:rPr>
            </w:pPr>
            <w:r>
              <w:rPr>
                <w:color w:val="000000" w:themeColor="text1"/>
              </w:rPr>
              <w:t>nopaline synthase</w:t>
            </w:r>
          </w:p>
        </w:tc>
      </w:tr>
      <w:tr w:rsidR="00333AC0" w:rsidRPr="00E308F0" w14:paraId="206437E5" w14:textId="77777777" w:rsidTr="00011A05">
        <w:trPr>
          <w:trHeight w:val="283"/>
        </w:trPr>
        <w:tc>
          <w:tcPr>
            <w:tcW w:w="2943" w:type="dxa"/>
          </w:tcPr>
          <w:p w14:paraId="206437E3" w14:textId="77777777" w:rsidR="00333AC0" w:rsidRPr="006607C4" w:rsidRDefault="00333AC0" w:rsidP="00011A05">
            <w:pPr>
              <w:widowControl/>
              <w:rPr>
                <w:color w:val="000000" w:themeColor="text1"/>
              </w:rPr>
            </w:pPr>
            <w:r w:rsidRPr="006607C4">
              <w:rPr>
                <w:color w:val="000000" w:themeColor="text1"/>
              </w:rPr>
              <w:t>OECD</w:t>
            </w:r>
          </w:p>
        </w:tc>
        <w:tc>
          <w:tcPr>
            <w:tcW w:w="6299" w:type="dxa"/>
          </w:tcPr>
          <w:p w14:paraId="206437E4" w14:textId="77777777" w:rsidR="00333AC0" w:rsidRPr="006607C4" w:rsidRDefault="00333AC0" w:rsidP="00011A05">
            <w:pPr>
              <w:widowControl/>
              <w:rPr>
                <w:color w:val="000000" w:themeColor="text1"/>
              </w:rPr>
            </w:pPr>
            <w:r w:rsidRPr="006607C4">
              <w:rPr>
                <w:color w:val="000000" w:themeColor="text1"/>
              </w:rPr>
              <w:t>Organisation for Economic Co-operation and Development</w:t>
            </w:r>
          </w:p>
        </w:tc>
      </w:tr>
      <w:tr w:rsidR="00333AC0" w:rsidRPr="00E308F0" w14:paraId="206437E8" w14:textId="77777777" w:rsidTr="00011A05">
        <w:trPr>
          <w:trHeight w:val="283"/>
        </w:trPr>
        <w:tc>
          <w:tcPr>
            <w:tcW w:w="2943" w:type="dxa"/>
          </w:tcPr>
          <w:p w14:paraId="206437E6" w14:textId="77777777" w:rsidR="00333AC0" w:rsidRPr="00A00AE1" w:rsidRDefault="00333AC0" w:rsidP="00011A05">
            <w:pPr>
              <w:widowControl/>
              <w:rPr>
                <w:color w:val="000000" w:themeColor="text1"/>
              </w:rPr>
            </w:pPr>
            <w:r w:rsidRPr="00A00AE1">
              <w:rPr>
                <w:color w:val="000000" w:themeColor="text1"/>
              </w:rPr>
              <w:t>OGTR</w:t>
            </w:r>
          </w:p>
        </w:tc>
        <w:tc>
          <w:tcPr>
            <w:tcW w:w="6299" w:type="dxa"/>
          </w:tcPr>
          <w:p w14:paraId="206437E7" w14:textId="77777777" w:rsidR="00333AC0" w:rsidRPr="00A00AE1" w:rsidRDefault="00333AC0" w:rsidP="00011A05">
            <w:pPr>
              <w:widowControl/>
              <w:rPr>
                <w:color w:val="000000" w:themeColor="text1"/>
              </w:rPr>
            </w:pPr>
            <w:r w:rsidRPr="00A00AE1">
              <w:rPr>
                <w:color w:val="000000" w:themeColor="text1"/>
              </w:rPr>
              <w:t>Office of the Gene Technology Regulator</w:t>
            </w:r>
          </w:p>
        </w:tc>
      </w:tr>
      <w:tr w:rsidR="00333AC0" w:rsidRPr="00E308F0" w14:paraId="206437EB" w14:textId="77777777" w:rsidTr="00011A05">
        <w:trPr>
          <w:trHeight w:val="283"/>
        </w:trPr>
        <w:tc>
          <w:tcPr>
            <w:tcW w:w="2943" w:type="dxa"/>
          </w:tcPr>
          <w:p w14:paraId="206437E9" w14:textId="77777777" w:rsidR="00333AC0" w:rsidRPr="00AC62B2" w:rsidRDefault="00333AC0" w:rsidP="00011A05">
            <w:pPr>
              <w:widowControl/>
              <w:rPr>
                <w:color w:val="000000" w:themeColor="text1"/>
              </w:rPr>
            </w:pPr>
            <w:r w:rsidRPr="00AC62B2">
              <w:rPr>
                <w:color w:val="000000" w:themeColor="text1"/>
              </w:rPr>
              <w:t>ORF</w:t>
            </w:r>
          </w:p>
        </w:tc>
        <w:tc>
          <w:tcPr>
            <w:tcW w:w="6299" w:type="dxa"/>
          </w:tcPr>
          <w:p w14:paraId="206437EA" w14:textId="77777777" w:rsidR="00333AC0" w:rsidRPr="00AC62B2" w:rsidRDefault="00333AC0" w:rsidP="00011A05">
            <w:pPr>
              <w:widowControl/>
              <w:rPr>
                <w:color w:val="000000" w:themeColor="text1"/>
              </w:rPr>
            </w:pPr>
            <w:r w:rsidRPr="00AC62B2">
              <w:rPr>
                <w:color w:val="000000" w:themeColor="text1"/>
              </w:rPr>
              <w:t>open reading frame</w:t>
            </w:r>
          </w:p>
        </w:tc>
      </w:tr>
      <w:tr w:rsidR="00333AC0" w:rsidRPr="00E308F0" w14:paraId="206437EE" w14:textId="77777777" w:rsidTr="00011A05">
        <w:trPr>
          <w:trHeight w:val="283"/>
        </w:trPr>
        <w:tc>
          <w:tcPr>
            <w:tcW w:w="2943" w:type="dxa"/>
          </w:tcPr>
          <w:p w14:paraId="206437EC" w14:textId="77777777" w:rsidR="00333AC0" w:rsidRPr="00A00AE1" w:rsidRDefault="00333AC0" w:rsidP="00011A05">
            <w:pPr>
              <w:widowControl/>
              <w:rPr>
                <w:color w:val="000000" w:themeColor="text1"/>
              </w:rPr>
            </w:pPr>
            <w:r w:rsidRPr="00A00AE1">
              <w:rPr>
                <w:color w:val="000000" w:themeColor="text1"/>
              </w:rPr>
              <w:t>PMI</w:t>
            </w:r>
          </w:p>
        </w:tc>
        <w:tc>
          <w:tcPr>
            <w:tcW w:w="6299" w:type="dxa"/>
          </w:tcPr>
          <w:p w14:paraId="206437ED" w14:textId="77777777" w:rsidR="00333AC0" w:rsidRPr="00A00AE1" w:rsidRDefault="00333AC0" w:rsidP="00011A05">
            <w:pPr>
              <w:widowControl/>
              <w:rPr>
                <w:color w:val="000000" w:themeColor="text1"/>
              </w:rPr>
            </w:pPr>
            <w:r>
              <w:rPr>
                <w:color w:val="000000" w:themeColor="text1"/>
              </w:rPr>
              <w:t>p</w:t>
            </w:r>
            <w:r w:rsidRPr="00A00AE1">
              <w:rPr>
                <w:color w:val="000000" w:themeColor="text1"/>
              </w:rPr>
              <w:t>hosphomannose isomerase</w:t>
            </w:r>
          </w:p>
        </w:tc>
      </w:tr>
      <w:tr w:rsidR="00333AC0" w:rsidRPr="00E308F0" w14:paraId="206437F1" w14:textId="77777777" w:rsidTr="00011A05">
        <w:trPr>
          <w:trHeight w:val="283"/>
        </w:trPr>
        <w:tc>
          <w:tcPr>
            <w:tcW w:w="2943" w:type="dxa"/>
          </w:tcPr>
          <w:p w14:paraId="206437EF" w14:textId="77777777" w:rsidR="00333AC0" w:rsidRPr="00A00AE1" w:rsidRDefault="00333AC0" w:rsidP="00011A05">
            <w:pPr>
              <w:widowControl/>
              <w:rPr>
                <w:iCs/>
                <w:color w:val="000000" w:themeColor="text1"/>
              </w:rPr>
            </w:pPr>
            <w:r w:rsidRPr="00A00AE1">
              <w:rPr>
                <w:iCs/>
                <w:color w:val="000000" w:themeColor="text1"/>
              </w:rPr>
              <w:t>PCR</w:t>
            </w:r>
          </w:p>
        </w:tc>
        <w:tc>
          <w:tcPr>
            <w:tcW w:w="6299" w:type="dxa"/>
          </w:tcPr>
          <w:p w14:paraId="206437F0" w14:textId="77777777" w:rsidR="00333AC0" w:rsidRPr="00A00AE1" w:rsidRDefault="00333AC0" w:rsidP="00011A05">
            <w:pPr>
              <w:widowControl/>
              <w:rPr>
                <w:color w:val="000000" w:themeColor="text1"/>
              </w:rPr>
            </w:pPr>
            <w:r w:rsidRPr="00A00AE1">
              <w:rPr>
                <w:iCs/>
                <w:color w:val="000000" w:themeColor="text1"/>
              </w:rPr>
              <w:t>polymerase chain reaction</w:t>
            </w:r>
          </w:p>
        </w:tc>
      </w:tr>
      <w:tr w:rsidR="00333AC0" w:rsidRPr="00E308F0" w14:paraId="206437F4" w14:textId="77777777" w:rsidTr="00011A05">
        <w:trPr>
          <w:trHeight w:val="283"/>
        </w:trPr>
        <w:tc>
          <w:tcPr>
            <w:tcW w:w="2943" w:type="dxa"/>
          </w:tcPr>
          <w:p w14:paraId="206437F2" w14:textId="77777777" w:rsidR="00333AC0" w:rsidRPr="006607C4" w:rsidRDefault="00333AC0" w:rsidP="00011A05">
            <w:pPr>
              <w:widowControl/>
              <w:rPr>
                <w:color w:val="000000" w:themeColor="text1"/>
              </w:rPr>
            </w:pPr>
            <w:r w:rsidRPr="006607C4">
              <w:rPr>
                <w:color w:val="000000" w:themeColor="text1"/>
              </w:rPr>
              <w:t>PSY1</w:t>
            </w:r>
          </w:p>
        </w:tc>
        <w:tc>
          <w:tcPr>
            <w:tcW w:w="6299" w:type="dxa"/>
          </w:tcPr>
          <w:p w14:paraId="206437F3" w14:textId="77777777" w:rsidR="00333AC0" w:rsidRPr="006607C4" w:rsidRDefault="00333AC0" w:rsidP="00011A05">
            <w:pPr>
              <w:widowControl/>
              <w:rPr>
                <w:color w:val="000000" w:themeColor="text1"/>
              </w:rPr>
            </w:pPr>
            <w:r>
              <w:rPr>
                <w:color w:val="000000" w:themeColor="text1"/>
              </w:rPr>
              <w:t>p</w:t>
            </w:r>
            <w:r w:rsidRPr="006607C4">
              <w:rPr>
                <w:color w:val="000000" w:themeColor="text1"/>
              </w:rPr>
              <w:t>hytoene synthase</w:t>
            </w:r>
          </w:p>
        </w:tc>
      </w:tr>
      <w:tr w:rsidR="00333AC0" w:rsidRPr="00E308F0" w14:paraId="206437F7" w14:textId="77777777" w:rsidTr="00011A05">
        <w:trPr>
          <w:trHeight w:val="283"/>
        </w:trPr>
        <w:tc>
          <w:tcPr>
            <w:tcW w:w="2943" w:type="dxa"/>
          </w:tcPr>
          <w:p w14:paraId="206437F5" w14:textId="77777777" w:rsidR="00333AC0" w:rsidRPr="00AC62B2" w:rsidRDefault="00333AC0" w:rsidP="00011A05">
            <w:pPr>
              <w:widowControl/>
              <w:rPr>
                <w:color w:val="000000" w:themeColor="text1"/>
              </w:rPr>
            </w:pPr>
            <w:r w:rsidRPr="00AC62B2">
              <w:rPr>
                <w:color w:val="000000" w:themeColor="text1"/>
              </w:rPr>
              <w:t>PVDF</w:t>
            </w:r>
          </w:p>
        </w:tc>
        <w:tc>
          <w:tcPr>
            <w:tcW w:w="6299" w:type="dxa"/>
          </w:tcPr>
          <w:p w14:paraId="206437F6" w14:textId="77777777" w:rsidR="00333AC0" w:rsidRPr="00AC62B2" w:rsidRDefault="00333AC0" w:rsidP="00011A05">
            <w:pPr>
              <w:widowControl/>
              <w:rPr>
                <w:color w:val="000000" w:themeColor="text1"/>
              </w:rPr>
            </w:pPr>
            <w:r w:rsidRPr="00AC62B2">
              <w:rPr>
                <w:rStyle w:val="st1"/>
                <w:rFonts w:cs="Arial"/>
                <w:color w:val="000000" w:themeColor="text1"/>
                <w:lang w:val="en-AU"/>
              </w:rPr>
              <w:t>polyvinylidene fluoride</w:t>
            </w:r>
          </w:p>
        </w:tc>
      </w:tr>
      <w:tr w:rsidR="00333AC0" w:rsidRPr="00E308F0" w14:paraId="206437FA" w14:textId="77777777" w:rsidTr="00011A05">
        <w:trPr>
          <w:trHeight w:val="283"/>
        </w:trPr>
        <w:tc>
          <w:tcPr>
            <w:tcW w:w="2943" w:type="dxa"/>
          </w:tcPr>
          <w:p w14:paraId="206437F8" w14:textId="77777777" w:rsidR="00333AC0" w:rsidRPr="00A00AE1" w:rsidRDefault="00333AC0" w:rsidP="00011A05">
            <w:pPr>
              <w:widowControl/>
              <w:rPr>
                <w:color w:val="000000" w:themeColor="text1"/>
              </w:rPr>
            </w:pPr>
            <w:r w:rsidRPr="00A00AE1">
              <w:rPr>
                <w:color w:val="000000" w:themeColor="text1"/>
              </w:rPr>
              <w:t>RB</w:t>
            </w:r>
          </w:p>
        </w:tc>
        <w:tc>
          <w:tcPr>
            <w:tcW w:w="6299" w:type="dxa"/>
          </w:tcPr>
          <w:p w14:paraId="206437F9" w14:textId="77777777" w:rsidR="00333AC0" w:rsidRPr="00A00AE1" w:rsidRDefault="00333AC0" w:rsidP="00011A05">
            <w:pPr>
              <w:widowControl/>
              <w:rPr>
                <w:color w:val="000000" w:themeColor="text1"/>
              </w:rPr>
            </w:pPr>
            <w:r w:rsidRPr="00A00AE1">
              <w:rPr>
                <w:color w:val="000000" w:themeColor="text1"/>
              </w:rPr>
              <w:t>Right Border of T-DNA (</w:t>
            </w:r>
            <w:r w:rsidRPr="00A00AE1">
              <w:rPr>
                <w:i/>
                <w:color w:val="000000" w:themeColor="text1"/>
              </w:rPr>
              <w:t>Agrobacterium tumefaciens</w:t>
            </w:r>
            <w:r w:rsidRPr="00A00AE1">
              <w:rPr>
                <w:color w:val="000000" w:themeColor="text1"/>
              </w:rPr>
              <w:t>)</w:t>
            </w:r>
          </w:p>
        </w:tc>
      </w:tr>
      <w:tr w:rsidR="00333AC0" w:rsidRPr="00E308F0" w14:paraId="206437FD" w14:textId="77777777" w:rsidTr="00011A05">
        <w:trPr>
          <w:trHeight w:val="283"/>
        </w:trPr>
        <w:tc>
          <w:tcPr>
            <w:tcW w:w="2943" w:type="dxa"/>
          </w:tcPr>
          <w:p w14:paraId="206437FB" w14:textId="77777777" w:rsidR="00333AC0" w:rsidRPr="00D775B8" w:rsidRDefault="00333AC0" w:rsidP="00011A05">
            <w:pPr>
              <w:widowControl/>
              <w:rPr>
                <w:color w:val="000000" w:themeColor="text1"/>
              </w:rPr>
            </w:pPr>
            <w:r w:rsidRPr="00D775B8">
              <w:rPr>
                <w:color w:val="000000" w:themeColor="text1"/>
              </w:rPr>
              <w:t>RUBISCO SSU</w:t>
            </w:r>
          </w:p>
        </w:tc>
        <w:tc>
          <w:tcPr>
            <w:tcW w:w="6299" w:type="dxa"/>
          </w:tcPr>
          <w:p w14:paraId="206437FC" w14:textId="77777777" w:rsidR="00333AC0" w:rsidRPr="00D775B8" w:rsidRDefault="00333AC0" w:rsidP="00011A05">
            <w:pPr>
              <w:widowControl/>
              <w:rPr>
                <w:color w:val="000000" w:themeColor="text1"/>
              </w:rPr>
            </w:pPr>
            <w:r>
              <w:rPr>
                <w:color w:val="000000" w:themeColor="text1"/>
              </w:rPr>
              <w:t>r</w:t>
            </w:r>
            <w:r w:rsidRPr="00D775B8">
              <w:rPr>
                <w:color w:val="000000" w:themeColor="text1"/>
              </w:rPr>
              <w:t>ibulose bisphosphate carboxylase small subunit</w:t>
            </w:r>
          </w:p>
        </w:tc>
      </w:tr>
      <w:tr w:rsidR="00333AC0" w:rsidRPr="00E308F0" w14:paraId="20643800" w14:textId="77777777" w:rsidTr="00011A05">
        <w:trPr>
          <w:trHeight w:val="283"/>
        </w:trPr>
        <w:tc>
          <w:tcPr>
            <w:tcW w:w="2943" w:type="dxa"/>
          </w:tcPr>
          <w:p w14:paraId="206437FE" w14:textId="77777777" w:rsidR="00333AC0" w:rsidRPr="00AC62B2" w:rsidRDefault="00333AC0" w:rsidP="00011A05">
            <w:pPr>
              <w:widowControl/>
              <w:rPr>
                <w:color w:val="000000" w:themeColor="text1"/>
              </w:rPr>
            </w:pPr>
            <w:r w:rsidRPr="00AC62B2">
              <w:rPr>
                <w:color w:val="000000" w:themeColor="text1"/>
              </w:rPr>
              <w:t>SDS-PAGE</w:t>
            </w:r>
          </w:p>
        </w:tc>
        <w:tc>
          <w:tcPr>
            <w:tcW w:w="6299" w:type="dxa"/>
          </w:tcPr>
          <w:p w14:paraId="206437FF" w14:textId="77777777" w:rsidR="00333AC0" w:rsidRPr="00AC62B2" w:rsidRDefault="00333AC0" w:rsidP="00011A05">
            <w:pPr>
              <w:widowControl/>
              <w:rPr>
                <w:color w:val="000000" w:themeColor="text1"/>
              </w:rPr>
            </w:pPr>
            <w:r>
              <w:rPr>
                <w:color w:val="000000" w:themeColor="text1"/>
              </w:rPr>
              <w:t>sodium dodecyl</w:t>
            </w:r>
            <w:r w:rsidRPr="00AC62B2">
              <w:rPr>
                <w:color w:val="000000" w:themeColor="text1"/>
              </w:rPr>
              <w:t xml:space="preserve"> sulfate polyacrylamide gel electrophoresis</w:t>
            </w:r>
          </w:p>
        </w:tc>
      </w:tr>
      <w:tr w:rsidR="00333AC0" w:rsidRPr="00E308F0" w14:paraId="20643803" w14:textId="77777777" w:rsidTr="00011A05">
        <w:trPr>
          <w:trHeight w:val="283"/>
        </w:trPr>
        <w:tc>
          <w:tcPr>
            <w:tcW w:w="2943" w:type="dxa"/>
          </w:tcPr>
          <w:p w14:paraId="20643801" w14:textId="77777777" w:rsidR="00333AC0" w:rsidRPr="00AC62B2" w:rsidRDefault="00333AC0" w:rsidP="00011A05">
            <w:pPr>
              <w:widowControl/>
              <w:rPr>
                <w:color w:val="000000" w:themeColor="text1"/>
              </w:rPr>
            </w:pPr>
            <w:r>
              <w:rPr>
                <w:color w:val="000000" w:themeColor="text1"/>
              </w:rPr>
              <w:t>SGF</w:t>
            </w:r>
          </w:p>
        </w:tc>
        <w:tc>
          <w:tcPr>
            <w:tcW w:w="6299" w:type="dxa"/>
          </w:tcPr>
          <w:p w14:paraId="20643802" w14:textId="77777777" w:rsidR="00333AC0" w:rsidRPr="00AC62B2" w:rsidRDefault="00333AC0" w:rsidP="00011A05">
            <w:pPr>
              <w:widowControl/>
              <w:rPr>
                <w:color w:val="000000" w:themeColor="text1"/>
              </w:rPr>
            </w:pPr>
            <w:r>
              <w:rPr>
                <w:color w:val="000000" w:themeColor="text1"/>
              </w:rPr>
              <w:t>simulated gastric fluid</w:t>
            </w:r>
          </w:p>
        </w:tc>
      </w:tr>
      <w:tr w:rsidR="00333AC0" w:rsidRPr="00E308F0" w14:paraId="20643806" w14:textId="77777777" w:rsidTr="00011A05">
        <w:trPr>
          <w:trHeight w:val="283"/>
        </w:trPr>
        <w:tc>
          <w:tcPr>
            <w:tcW w:w="2943" w:type="dxa"/>
          </w:tcPr>
          <w:p w14:paraId="20643804" w14:textId="77777777" w:rsidR="00333AC0" w:rsidRPr="00AC62B2" w:rsidRDefault="00333AC0" w:rsidP="00011A05">
            <w:pPr>
              <w:widowControl/>
              <w:rPr>
                <w:color w:val="000000" w:themeColor="text1"/>
              </w:rPr>
            </w:pPr>
            <w:r w:rsidRPr="00AC62B2">
              <w:rPr>
                <w:color w:val="000000" w:themeColor="text1"/>
              </w:rPr>
              <w:t>the Code</w:t>
            </w:r>
          </w:p>
        </w:tc>
        <w:tc>
          <w:tcPr>
            <w:tcW w:w="6299" w:type="dxa"/>
          </w:tcPr>
          <w:p w14:paraId="20643805" w14:textId="77777777" w:rsidR="00333AC0" w:rsidRPr="00AC62B2" w:rsidRDefault="00333AC0" w:rsidP="00011A05">
            <w:pPr>
              <w:widowControl/>
              <w:rPr>
                <w:color w:val="000000" w:themeColor="text1"/>
              </w:rPr>
            </w:pPr>
            <w:r w:rsidRPr="00AC62B2">
              <w:rPr>
                <w:color w:val="000000" w:themeColor="text1"/>
              </w:rPr>
              <w:t>Australia New Zealand Food Standards Code</w:t>
            </w:r>
          </w:p>
        </w:tc>
      </w:tr>
      <w:tr w:rsidR="00333AC0" w:rsidRPr="00E308F0" w14:paraId="20643809" w14:textId="77777777" w:rsidTr="00011A05">
        <w:trPr>
          <w:trHeight w:val="283"/>
        </w:trPr>
        <w:tc>
          <w:tcPr>
            <w:tcW w:w="2943" w:type="dxa"/>
          </w:tcPr>
          <w:p w14:paraId="20643807" w14:textId="77777777" w:rsidR="00333AC0" w:rsidRPr="00A00AE1" w:rsidRDefault="00333AC0" w:rsidP="00011A05">
            <w:pPr>
              <w:widowControl/>
              <w:rPr>
                <w:color w:val="000000" w:themeColor="text1"/>
              </w:rPr>
            </w:pPr>
            <w:r w:rsidRPr="00A00AE1">
              <w:rPr>
                <w:color w:val="000000" w:themeColor="text1"/>
              </w:rPr>
              <w:t>T-DNA</w:t>
            </w:r>
          </w:p>
        </w:tc>
        <w:tc>
          <w:tcPr>
            <w:tcW w:w="6299" w:type="dxa"/>
          </w:tcPr>
          <w:p w14:paraId="20643808" w14:textId="77777777" w:rsidR="00333AC0" w:rsidRPr="00A00AE1" w:rsidRDefault="00333AC0" w:rsidP="00011A05">
            <w:pPr>
              <w:widowControl/>
              <w:rPr>
                <w:color w:val="000000" w:themeColor="text1"/>
              </w:rPr>
            </w:pPr>
            <w:r w:rsidRPr="00A00AE1">
              <w:rPr>
                <w:color w:val="000000" w:themeColor="text1"/>
              </w:rPr>
              <w:t>transfer DNA</w:t>
            </w:r>
          </w:p>
        </w:tc>
      </w:tr>
      <w:tr w:rsidR="00333AC0" w:rsidRPr="00E308F0" w14:paraId="2064380C" w14:textId="77777777" w:rsidTr="00011A05">
        <w:trPr>
          <w:trHeight w:val="283"/>
        </w:trPr>
        <w:tc>
          <w:tcPr>
            <w:tcW w:w="2943" w:type="dxa"/>
          </w:tcPr>
          <w:p w14:paraId="2064380A" w14:textId="77777777" w:rsidR="00333AC0" w:rsidRDefault="00333AC0" w:rsidP="00011A05">
            <w:pPr>
              <w:widowControl/>
              <w:rPr>
                <w:color w:val="000000" w:themeColor="text1"/>
              </w:rPr>
            </w:pPr>
            <w:r>
              <w:rPr>
                <w:color w:val="000000" w:themeColor="text1"/>
              </w:rPr>
              <w:t>Ti</w:t>
            </w:r>
          </w:p>
        </w:tc>
        <w:tc>
          <w:tcPr>
            <w:tcW w:w="6299" w:type="dxa"/>
          </w:tcPr>
          <w:p w14:paraId="2064380B" w14:textId="77777777" w:rsidR="00333AC0" w:rsidRDefault="00333AC0" w:rsidP="00011A05">
            <w:pPr>
              <w:widowControl/>
              <w:rPr>
                <w:color w:val="000000" w:themeColor="text1"/>
              </w:rPr>
            </w:pPr>
            <w:r>
              <w:rPr>
                <w:color w:val="000000" w:themeColor="text1"/>
              </w:rPr>
              <w:t>tumour inducing</w:t>
            </w:r>
          </w:p>
        </w:tc>
      </w:tr>
      <w:tr w:rsidR="00333AC0" w:rsidRPr="00E308F0" w14:paraId="2064380F" w14:textId="77777777" w:rsidTr="00011A05">
        <w:trPr>
          <w:trHeight w:val="283"/>
        </w:trPr>
        <w:tc>
          <w:tcPr>
            <w:tcW w:w="2943" w:type="dxa"/>
          </w:tcPr>
          <w:p w14:paraId="2064380D" w14:textId="77777777" w:rsidR="00333AC0" w:rsidRDefault="00333AC0" w:rsidP="00011A05">
            <w:pPr>
              <w:widowControl/>
              <w:rPr>
                <w:color w:val="000000" w:themeColor="text1"/>
              </w:rPr>
            </w:pPr>
            <w:r>
              <w:rPr>
                <w:color w:val="000000" w:themeColor="text1"/>
              </w:rPr>
              <w:t>TIU</w:t>
            </w:r>
          </w:p>
        </w:tc>
        <w:tc>
          <w:tcPr>
            <w:tcW w:w="6299" w:type="dxa"/>
          </w:tcPr>
          <w:p w14:paraId="2064380E" w14:textId="77777777" w:rsidR="00333AC0" w:rsidRDefault="00333AC0" w:rsidP="00011A05">
            <w:pPr>
              <w:widowControl/>
              <w:rPr>
                <w:color w:val="000000" w:themeColor="text1"/>
              </w:rPr>
            </w:pPr>
            <w:r>
              <w:rPr>
                <w:color w:val="000000" w:themeColor="text1"/>
              </w:rPr>
              <w:t>Trypsin inhibitor units</w:t>
            </w:r>
          </w:p>
        </w:tc>
      </w:tr>
      <w:tr w:rsidR="00333AC0" w:rsidRPr="00E308F0" w14:paraId="20643812" w14:textId="77777777" w:rsidTr="00011A05">
        <w:trPr>
          <w:trHeight w:val="283"/>
        </w:trPr>
        <w:tc>
          <w:tcPr>
            <w:tcW w:w="2943" w:type="dxa"/>
          </w:tcPr>
          <w:p w14:paraId="20643810" w14:textId="77777777" w:rsidR="00333AC0" w:rsidRPr="00A00AE1" w:rsidRDefault="00333AC0" w:rsidP="00011A05">
            <w:pPr>
              <w:widowControl/>
              <w:rPr>
                <w:color w:val="000000" w:themeColor="text1"/>
              </w:rPr>
            </w:pPr>
            <w:r>
              <w:rPr>
                <w:color w:val="000000" w:themeColor="text1"/>
              </w:rPr>
              <w:t>ubi</w:t>
            </w:r>
          </w:p>
        </w:tc>
        <w:tc>
          <w:tcPr>
            <w:tcW w:w="6299" w:type="dxa"/>
          </w:tcPr>
          <w:p w14:paraId="20643811" w14:textId="77777777" w:rsidR="00333AC0" w:rsidRPr="00A00AE1" w:rsidRDefault="00333AC0" w:rsidP="00011A05">
            <w:pPr>
              <w:widowControl/>
              <w:rPr>
                <w:color w:val="000000" w:themeColor="text1"/>
              </w:rPr>
            </w:pPr>
            <w:r>
              <w:rPr>
                <w:color w:val="000000" w:themeColor="text1"/>
              </w:rPr>
              <w:t>polyubiquitin</w:t>
            </w:r>
          </w:p>
        </w:tc>
      </w:tr>
      <w:tr w:rsidR="00333AC0" w:rsidRPr="00E308F0" w14:paraId="20643815" w14:textId="77777777" w:rsidTr="00011A05">
        <w:trPr>
          <w:trHeight w:val="283"/>
        </w:trPr>
        <w:tc>
          <w:tcPr>
            <w:tcW w:w="2943" w:type="dxa"/>
          </w:tcPr>
          <w:p w14:paraId="20643813" w14:textId="77777777" w:rsidR="00333AC0" w:rsidRPr="00A00AE1" w:rsidRDefault="00333AC0" w:rsidP="00011A05">
            <w:pPr>
              <w:widowControl/>
              <w:rPr>
                <w:color w:val="000000" w:themeColor="text1"/>
              </w:rPr>
            </w:pPr>
            <w:r>
              <w:rPr>
                <w:rFonts w:cs="Arial"/>
                <w:color w:val="000000" w:themeColor="text1"/>
              </w:rPr>
              <w:t>μ</w:t>
            </w:r>
            <w:r>
              <w:rPr>
                <w:color w:val="000000" w:themeColor="text1"/>
              </w:rPr>
              <w:t>g</w:t>
            </w:r>
          </w:p>
        </w:tc>
        <w:tc>
          <w:tcPr>
            <w:tcW w:w="6299" w:type="dxa"/>
          </w:tcPr>
          <w:p w14:paraId="20643814" w14:textId="77777777" w:rsidR="00333AC0" w:rsidRPr="00A00AE1" w:rsidRDefault="00333AC0" w:rsidP="00011A05">
            <w:pPr>
              <w:widowControl/>
              <w:rPr>
                <w:color w:val="000000" w:themeColor="text1"/>
              </w:rPr>
            </w:pPr>
            <w:r>
              <w:rPr>
                <w:color w:val="000000" w:themeColor="text1"/>
              </w:rPr>
              <w:t>microgram</w:t>
            </w:r>
          </w:p>
        </w:tc>
      </w:tr>
      <w:tr w:rsidR="00333AC0" w:rsidRPr="00E308F0" w14:paraId="20643818" w14:textId="77777777" w:rsidTr="00011A05">
        <w:trPr>
          <w:trHeight w:val="283"/>
        </w:trPr>
        <w:tc>
          <w:tcPr>
            <w:tcW w:w="2943" w:type="dxa"/>
          </w:tcPr>
          <w:p w14:paraId="20643816" w14:textId="77777777" w:rsidR="00333AC0" w:rsidRPr="00A00AE1" w:rsidRDefault="00333AC0" w:rsidP="00011A05">
            <w:pPr>
              <w:widowControl/>
              <w:rPr>
                <w:color w:val="000000" w:themeColor="text1"/>
              </w:rPr>
            </w:pPr>
            <w:r w:rsidRPr="00A00AE1">
              <w:rPr>
                <w:color w:val="000000" w:themeColor="text1"/>
              </w:rPr>
              <w:t>U.S.</w:t>
            </w:r>
          </w:p>
        </w:tc>
        <w:tc>
          <w:tcPr>
            <w:tcW w:w="6299" w:type="dxa"/>
          </w:tcPr>
          <w:p w14:paraId="20643817" w14:textId="77777777" w:rsidR="00333AC0" w:rsidRPr="00A00AE1" w:rsidRDefault="00333AC0" w:rsidP="00011A05">
            <w:pPr>
              <w:widowControl/>
              <w:rPr>
                <w:color w:val="000000" w:themeColor="text1"/>
              </w:rPr>
            </w:pPr>
            <w:r w:rsidRPr="00A00AE1">
              <w:rPr>
                <w:color w:val="000000" w:themeColor="text1"/>
              </w:rPr>
              <w:t>United States of America</w:t>
            </w:r>
          </w:p>
        </w:tc>
      </w:tr>
      <w:tr w:rsidR="00333AC0" w:rsidRPr="00E308F0" w14:paraId="2064381B" w14:textId="77777777" w:rsidTr="00011A05">
        <w:trPr>
          <w:trHeight w:val="283"/>
        </w:trPr>
        <w:tc>
          <w:tcPr>
            <w:tcW w:w="2943" w:type="dxa"/>
          </w:tcPr>
          <w:p w14:paraId="20643819" w14:textId="77777777" w:rsidR="00333AC0" w:rsidRPr="00A00AE1" w:rsidRDefault="00333AC0" w:rsidP="00011A05">
            <w:pPr>
              <w:widowControl/>
              <w:rPr>
                <w:color w:val="000000" w:themeColor="text1"/>
              </w:rPr>
            </w:pPr>
            <w:r>
              <w:rPr>
                <w:color w:val="000000" w:themeColor="text1"/>
              </w:rPr>
              <w:t>UTR</w:t>
            </w:r>
          </w:p>
        </w:tc>
        <w:tc>
          <w:tcPr>
            <w:tcW w:w="6299" w:type="dxa"/>
          </w:tcPr>
          <w:p w14:paraId="2064381A" w14:textId="77777777" w:rsidR="00333AC0" w:rsidRPr="00A00AE1" w:rsidRDefault="00333AC0" w:rsidP="00011A05">
            <w:pPr>
              <w:widowControl/>
              <w:rPr>
                <w:color w:val="000000" w:themeColor="text1"/>
              </w:rPr>
            </w:pPr>
            <w:r>
              <w:rPr>
                <w:color w:val="000000" w:themeColor="text1"/>
              </w:rPr>
              <w:t>untranslated region</w:t>
            </w:r>
          </w:p>
        </w:tc>
      </w:tr>
    </w:tbl>
    <w:p w14:paraId="2064381C" w14:textId="77777777" w:rsidR="00333AC0" w:rsidRDefault="00333AC0">
      <w:pPr>
        <w:widowControl/>
        <w:rPr>
          <w:color w:val="000000" w:themeColor="text1"/>
        </w:rPr>
      </w:pPr>
    </w:p>
    <w:p w14:paraId="2064381D" w14:textId="77777777" w:rsidR="00333AC0" w:rsidRDefault="00333AC0">
      <w:pPr>
        <w:widowControl/>
        <w:rPr>
          <w:b/>
          <w:color w:val="000000" w:themeColor="text1"/>
        </w:rPr>
      </w:pPr>
      <w:r w:rsidRPr="0010341E">
        <w:rPr>
          <w:b/>
          <w:color w:val="000000" w:themeColor="text1"/>
        </w:rPr>
        <w:t>Greek symbols used in the text</w:t>
      </w:r>
    </w:p>
    <w:p w14:paraId="2064381E" w14:textId="77777777" w:rsidR="00333AC0" w:rsidRPr="0010341E" w:rsidRDefault="00333AC0">
      <w:pPr>
        <w:widowControl/>
        <w:rPr>
          <w:b/>
          <w:color w:val="000000" w:themeColor="text1"/>
        </w:rPr>
      </w:pPr>
    </w:p>
    <w:tbl>
      <w:tblPr>
        <w:tblStyle w:val="TableGrid"/>
        <w:tblW w:w="0" w:type="auto"/>
        <w:tblLook w:val="04A0" w:firstRow="1" w:lastRow="0" w:firstColumn="1" w:lastColumn="0" w:noHBand="0" w:noVBand="1"/>
      </w:tblPr>
      <w:tblGrid>
        <w:gridCol w:w="2943"/>
        <w:gridCol w:w="6343"/>
      </w:tblGrid>
      <w:tr w:rsidR="00333AC0" w14:paraId="20643821" w14:textId="77777777" w:rsidTr="00011A05">
        <w:tc>
          <w:tcPr>
            <w:tcW w:w="2943" w:type="dxa"/>
          </w:tcPr>
          <w:p w14:paraId="2064381F" w14:textId="77777777" w:rsidR="00333AC0" w:rsidRDefault="00333AC0">
            <w:pPr>
              <w:widowControl/>
              <w:rPr>
                <w:color w:val="000000" w:themeColor="text1"/>
              </w:rPr>
            </w:pPr>
            <w:r w:rsidRPr="00091397">
              <w:rPr>
                <w:rFonts w:cs="Arial"/>
                <w:color w:val="000000" w:themeColor="text1"/>
                <w:szCs w:val="20"/>
              </w:rPr>
              <w:t>α</w:t>
            </w:r>
          </w:p>
        </w:tc>
        <w:tc>
          <w:tcPr>
            <w:tcW w:w="6343" w:type="dxa"/>
          </w:tcPr>
          <w:p w14:paraId="20643820" w14:textId="77777777" w:rsidR="00333AC0" w:rsidRDefault="00333AC0">
            <w:pPr>
              <w:widowControl/>
              <w:rPr>
                <w:color w:val="000000" w:themeColor="text1"/>
              </w:rPr>
            </w:pPr>
            <w:r>
              <w:rPr>
                <w:color w:val="000000" w:themeColor="text1"/>
              </w:rPr>
              <w:t>alpha</w:t>
            </w:r>
          </w:p>
        </w:tc>
      </w:tr>
      <w:tr w:rsidR="00333AC0" w14:paraId="20643824" w14:textId="77777777" w:rsidTr="00011A05">
        <w:tc>
          <w:tcPr>
            <w:tcW w:w="2943" w:type="dxa"/>
          </w:tcPr>
          <w:p w14:paraId="20643822" w14:textId="77777777" w:rsidR="00333AC0" w:rsidRDefault="00333AC0">
            <w:pPr>
              <w:widowControl/>
              <w:rPr>
                <w:rFonts w:cs="Arial"/>
                <w:szCs w:val="22"/>
                <w:lang w:bidi="ar-SA"/>
              </w:rPr>
            </w:pPr>
            <w:r w:rsidRPr="00FB7680">
              <w:rPr>
                <w:rFonts w:cs="Arial"/>
                <w:color w:val="000000" w:themeColor="text1"/>
              </w:rPr>
              <w:t>β</w:t>
            </w:r>
          </w:p>
        </w:tc>
        <w:tc>
          <w:tcPr>
            <w:tcW w:w="6343" w:type="dxa"/>
          </w:tcPr>
          <w:p w14:paraId="20643823" w14:textId="77777777" w:rsidR="00333AC0" w:rsidRDefault="00333AC0">
            <w:pPr>
              <w:widowControl/>
              <w:rPr>
                <w:color w:val="000000" w:themeColor="text1"/>
              </w:rPr>
            </w:pPr>
            <w:r>
              <w:rPr>
                <w:color w:val="000000" w:themeColor="text1"/>
              </w:rPr>
              <w:t>beta</w:t>
            </w:r>
          </w:p>
        </w:tc>
      </w:tr>
      <w:tr w:rsidR="00333AC0" w14:paraId="20643827" w14:textId="77777777" w:rsidTr="00011A05">
        <w:tc>
          <w:tcPr>
            <w:tcW w:w="2943" w:type="dxa"/>
          </w:tcPr>
          <w:p w14:paraId="20643825" w14:textId="77777777" w:rsidR="00333AC0" w:rsidRDefault="00333AC0">
            <w:pPr>
              <w:widowControl/>
              <w:rPr>
                <w:color w:val="000000" w:themeColor="text1"/>
              </w:rPr>
            </w:pPr>
            <w:r>
              <w:rPr>
                <w:rFonts w:cs="Arial"/>
                <w:szCs w:val="22"/>
                <w:lang w:bidi="ar-SA"/>
              </w:rPr>
              <w:t>ζ</w:t>
            </w:r>
          </w:p>
        </w:tc>
        <w:tc>
          <w:tcPr>
            <w:tcW w:w="6343" w:type="dxa"/>
          </w:tcPr>
          <w:p w14:paraId="20643826" w14:textId="77777777" w:rsidR="00333AC0" w:rsidRDefault="00333AC0">
            <w:pPr>
              <w:widowControl/>
              <w:rPr>
                <w:color w:val="000000" w:themeColor="text1"/>
              </w:rPr>
            </w:pPr>
            <w:r>
              <w:rPr>
                <w:color w:val="000000" w:themeColor="text1"/>
              </w:rPr>
              <w:t>zeta</w:t>
            </w:r>
          </w:p>
        </w:tc>
      </w:tr>
      <w:tr w:rsidR="00333AC0" w14:paraId="2064382A" w14:textId="77777777" w:rsidTr="00011A05">
        <w:tc>
          <w:tcPr>
            <w:tcW w:w="2943" w:type="dxa"/>
          </w:tcPr>
          <w:p w14:paraId="20643828" w14:textId="77777777" w:rsidR="00333AC0" w:rsidRDefault="00333AC0">
            <w:pPr>
              <w:widowControl/>
              <w:rPr>
                <w:color w:val="000000" w:themeColor="text1"/>
              </w:rPr>
            </w:pPr>
            <w:r w:rsidRPr="004556B9">
              <w:rPr>
                <w:rFonts w:cs="Arial"/>
                <w:color w:val="000000" w:themeColor="text1"/>
                <w:szCs w:val="20"/>
              </w:rPr>
              <w:t>Χ</w:t>
            </w:r>
          </w:p>
        </w:tc>
        <w:tc>
          <w:tcPr>
            <w:tcW w:w="6343" w:type="dxa"/>
          </w:tcPr>
          <w:p w14:paraId="20643829" w14:textId="77777777" w:rsidR="00333AC0" w:rsidRDefault="00333AC0">
            <w:pPr>
              <w:widowControl/>
              <w:rPr>
                <w:color w:val="000000" w:themeColor="text1"/>
              </w:rPr>
            </w:pPr>
            <w:r>
              <w:rPr>
                <w:color w:val="000000" w:themeColor="text1"/>
              </w:rPr>
              <w:t>chi</w:t>
            </w:r>
          </w:p>
        </w:tc>
      </w:tr>
      <w:tr w:rsidR="00333AC0" w14:paraId="2064382D" w14:textId="77777777" w:rsidTr="00011A05">
        <w:tc>
          <w:tcPr>
            <w:tcW w:w="2943" w:type="dxa"/>
          </w:tcPr>
          <w:p w14:paraId="2064382B" w14:textId="77777777" w:rsidR="00333AC0" w:rsidRDefault="00333AC0">
            <w:pPr>
              <w:widowControl/>
              <w:rPr>
                <w:color w:val="000000" w:themeColor="text1"/>
              </w:rPr>
            </w:pPr>
            <w:r>
              <w:rPr>
                <w:rFonts w:cs="Arial"/>
                <w:color w:val="000000" w:themeColor="text1"/>
              </w:rPr>
              <w:t>μ</w:t>
            </w:r>
          </w:p>
        </w:tc>
        <w:tc>
          <w:tcPr>
            <w:tcW w:w="6343" w:type="dxa"/>
          </w:tcPr>
          <w:p w14:paraId="2064382C" w14:textId="77777777" w:rsidR="00333AC0" w:rsidRDefault="00333AC0">
            <w:pPr>
              <w:widowControl/>
              <w:rPr>
                <w:color w:val="000000" w:themeColor="text1"/>
              </w:rPr>
            </w:pPr>
            <w:r>
              <w:rPr>
                <w:color w:val="000000" w:themeColor="text1"/>
              </w:rPr>
              <w:t>mu (micro)</w:t>
            </w:r>
          </w:p>
        </w:tc>
      </w:tr>
    </w:tbl>
    <w:p w14:paraId="2064382E" w14:textId="77777777" w:rsidR="00333AC0" w:rsidRDefault="00333AC0">
      <w:pPr>
        <w:widowControl/>
        <w:rPr>
          <w:color w:val="000000" w:themeColor="text1"/>
        </w:rPr>
      </w:pPr>
    </w:p>
    <w:p w14:paraId="2064382F" w14:textId="77777777" w:rsidR="00333AC0" w:rsidRDefault="00333AC0">
      <w:pPr>
        <w:widowControl/>
        <w:rPr>
          <w:color w:val="000000" w:themeColor="text1"/>
        </w:rPr>
      </w:pPr>
    </w:p>
    <w:p w14:paraId="20643830" w14:textId="77777777" w:rsidR="00333AC0" w:rsidRPr="009630B4" w:rsidRDefault="00333AC0">
      <w:pPr>
        <w:widowControl/>
        <w:rPr>
          <w:color w:val="000000" w:themeColor="text1"/>
        </w:rPr>
      </w:pPr>
      <w:r w:rsidRPr="009630B4">
        <w:rPr>
          <w:color w:val="000000" w:themeColor="text1"/>
        </w:rPr>
        <w:br w:type="page"/>
      </w:r>
    </w:p>
    <w:p w14:paraId="20643831" w14:textId="77777777" w:rsidR="00333AC0" w:rsidRPr="009630B4" w:rsidRDefault="00333AC0" w:rsidP="00011A05">
      <w:pPr>
        <w:pStyle w:val="Heading1"/>
        <w:ind w:left="720" w:hanging="720"/>
        <w:jc w:val="both"/>
        <w:rPr>
          <w:color w:val="000000" w:themeColor="text1"/>
          <w:szCs w:val="36"/>
        </w:rPr>
      </w:pPr>
      <w:bookmarkStart w:id="13" w:name="_Toc470008710"/>
      <w:r w:rsidRPr="009630B4">
        <w:rPr>
          <w:color w:val="000000" w:themeColor="text1"/>
          <w:szCs w:val="36"/>
        </w:rPr>
        <w:t>1</w:t>
      </w:r>
      <w:r w:rsidRPr="009630B4">
        <w:rPr>
          <w:color w:val="000000" w:themeColor="text1"/>
          <w:szCs w:val="36"/>
        </w:rPr>
        <w:tab/>
        <w:t>Introduction</w:t>
      </w:r>
      <w:bookmarkEnd w:id="13"/>
    </w:p>
    <w:p w14:paraId="20643832" w14:textId="77777777" w:rsidR="00333AC0" w:rsidRPr="00FB7680" w:rsidRDefault="00333AC0" w:rsidP="00011A05">
      <w:pPr>
        <w:rPr>
          <w:color w:val="000000" w:themeColor="text1"/>
          <w:lang w:val="en-AU"/>
        </w:rPr>
      </w:pPr>
      <w:r w:rsidRPr="0097797B">
        <w:rPr>
          <w:color w:val="000000" w:themeColor="text1"/>
        </w:rPr>
        <w:t>The International Rice Research Institute</w:t>
      </w:r>
      <w:r w:rsidRPr="0097797B">
        <w:rPr>
          <w:color w:val="000000" w:themeColor="text1"/>
          <w:szCs w:val="22"/>
        </w:rPr>
        <w:t xml:space="preserve"> </w:t>
      </w:r>
      <w:r w:rsidRPr="00FB7680">
        <w:rPr>
          <w:color w:val="000000" w:themeColor="text1"/>
          <w:szCs w:val="22"/>
        </w:rPr>
        <w:t xml:space="preserve">(IRRI) </w:t>
      </w:r>
      <w:r w:rsidRPr="00FB7680">
        <w:rPr>
          <w:color w:val="000000" w:themeColor="text1"/>
        </w:rPr>
        <w:t xml:space="preserve">has submitted an application to FSANZ to vary Schedule 26 in the </w:t>
      </w:r>
      <w:r w:rsidRPr="00FB7680">
        <w:rPr>
          <w:i/>
          <w:color w:val="000000" w:themeColor="text1"/>
        </w:rPr>
        <w:t>Australia New Zealand Food Standards Code</w:t>
      </w:r>
      <w:r w:rsidRPr="00FB7680">
        <w:rPr>
          <w:color w:val="000000" w:themeColor="text1"/>
        </w:rPr>
        <w:t xml:space="preserve"> (the Code) to include food from a new genetically modified (GM) rice (</w:t>
      </w:r>
      <w:r w:rsidRPr="00FB7680">
        <w:rPr>
          <w:i/>
          <w:color w:val="000000" w:themeColor="text1"/>
        </w:rPr>
        <w:t>Oryza sativa</w:t>
      </w:r>
      <w:r w:rsidRPr="00FB7680">
        <w:rPr>
          <w:color w:val="000000" w:themeColor="text1"/>
        </w:rPr>
        <w:t xml:space="preserve">) line, GR2E, with OECD Unique Identifier IR-00GR2E-5 (herein referred to as GR2E). This rice line has been genetically modified </w:t>
      </w:r>
      <w:r>
        <w:rPr>
          <w:color w:val="000000" w:themeColor="text1"/>
        </w:rPr>
        <w:t>to produce</w:t>
      </w:r>
      <w:r w:rsidRPr="00FB7680">
        <w:rPr>
          <w:color w:val="000000" w:themeColor="text1"/>
        </w:rPr>
        <w:t xml:space="preserve"> </w:t>
      </w:r>
      <w:r>
        <w:rPr>
          <w:color w:val="000000" w:themeColor="text1"/>
        </w:rPr>
        <w:t>beta (</w:t>
      </w:r>
      <w:r w:rsidRPr="00FB7680">
        <w:rPr>
          <w:rFonts w:cs="Arial"/>
          <w:color w:val="000000" w:themeColor="text1"/>
        </w:rPr>
        <w:t>β</w:t>
      </w:r>
      <w:r>
        <w:rPr>
          <w:rFonts w:cs="Arial"/>
          <w:color w:val="000000" w:themeColor="text1"/>
        </w:rPr>
        <w:t>)</w:t>
      </w:r>
      <w:r w:rsidRPr="00FB7680">
        <w:rPr>
          <w:color w:val="000000" w:themeColor="text1"/>
        </w:rPr>
        <w:t>-carotene</w:t>
      </w:r>
      <w:r w:rsidRPr="00FB7680">
        <w:rPr>
          <w:color w:val="000000" w:themeColor="text1"/>
          <w:lang w:val="en-AU"/>
        </w:rPr>
        <w:t xml:space="preserve"> (a form of provitamin A) in the endosperm of the rice grain. </w:t>
      </w:r>
    </w:p>
    <w:p w14:paraId="20643833" w14:textId="77777777" w:rsidR="00333AC0" w:rsidRPr="00FB7680" w:rsidRDefault="00333AC0" w:rsidP="00011A05">
      <w:pPr>
        <w:rPr>
          <w:color w:val="000000" w:themeColor="text1"/>
          <w:lang w:val="en-AU"/>
        </w:rPr>
      </w:pPr>
    </w:p>
    <w:p w14:paraId="20643834" w14:textId="77777777" w:rsidR="00333AC0" w:rsidRPr="00FB7680" w:rsidRDefault="00333AC0" w:rsidP="00011A05">
      <w:pPr>
        <w:rPr>
          <w:color w:val="000000" w:themeColor="text1"/>
        </w:rPr>
      </w:pPr>
      <w:r w:rsidRPr="00FB7680">
        <w:rPr>
          <w:color w:val="000000" w:themeColor="text1"/>
          <w:lang w:val="en-AU"/>
        </w:rPr>
        <w:t>This trait has been achieved through expression of a phytoene synthase protein (PSY1) encoded by a gene (</w:t>
      </w:r>
      <w:r w:rsidRPr="00FB7680">
        <w:rPr>
          <w:i/>
          <w:color w:val="000000" w:themeColor="text1"/>
          <w:lang w:val="en-AU"/>
        </w:rPr>
        <w:t>Zmpsy1</w:t>
      </w:r>
      <w:r w:rsidRPr="00FB7680">
        <w:rPr>
          <w:color w:val="000000" w:themeColor="text1"/>
          <w:lang w:val="en-AU"/>
        </w:rPr>
        <w:t xml:space="preserve">) from </w:t>
      </w:r>
      <w:r w:rsidRPr="00FB7680">
        <w:rPr>
          <w:i/>
          <w:color w:val="000000" w:themeColor="text1"/>
          <w:lang w:val="en-AU"/>
        </w:rPr>
        <w:t>Zea mays</w:t>
      </w:r>
      <w:r w:rsidRPr="00FB7680">
        <w:rPr>
          <w:color w:val="000000" w:themeColor="text1"/>
          <w:lang w:val="en-AU"/>
        </w:rPr>
        <w:t xml:space="preserve"> (corn) and a carotene desaturase protein (CRTI) encoded by a gene (</w:t>
      </w:r>
      <w:r w:rsidRPr="00FB7680">
        <w:rPr>
          <w:i/>
          <w:color w:val="000000" w:themeColor="text1"/>
          <w:lang w:val="en-AU"/>
        </w:rPr>
        <w:t>crtI</w:t>
      </w:r>
      <w:r w:rsidRPr="00FB7680">
        <w:rPr>
          <w:color w:val="000000" w:themeColor="text1"/>
          <w:lang w:val="en-AU"/>
        </w:rPr>
        <w:t xml:space="preserve">) from the bacterium </w:t>
      </w:r>
      <w:r w:rsidRPr="00FB7680">
        <w:rPr>
          <w:i/>
          <w:color w:val="000000" w:themeColor="text1"/>
          <w:lang w:val="en-AU"/>
        </w:rPr>
        <w:t>Pantoea ananatis</w:t>
      </w:r>
      <w:r w:rsidRPr="00FB7680">
        <w:rPr>
          <w:color w:val="000000" w:themeColor="text1"/>
          <w:lang w:val="en-AU"/>
        </w:rPr>
        <w:t xml:space="preserve">. These two proteins, normally </w:t>
      </w:r>
      <w:r>
        <w:rPr>
          <w:color w:val="000000" w:themeColor="text1"/>
          <w:lang w:val="en-AU"/>
        </w:rPr>
        <w:t>absent</w:t>
      </w:r>
      <w:r w:rsidRPr="00FB7680">
        <w:rPr>
          <w:color w:val="000000" w:themeColor="text1"/>
          <w:lang w:val="en-AU"/>
        </w:rPr>
        <w:t xml:space="preserve"> in rice endosperm, supply the necessary intermediaries to support a functional </w:t>
      </w:r>
      <w:r w:rsidRPr="00FB7680">
        <w:rPr>
          <w:rFonts w:cs="Arial"/>
          <w:color w:val="000000" w:themeColor="text1"/>
        </w:rPr>
        <w:t>β</w:t>
      </w:r>
      <w:r w:rsidRPr="00FB7680">
        <w:rPr>
          <w:color w:val="000000" w:themeColor="text1"/>
        </w:rPr>
        <w:t xml:space="preserve">-carotene biosynthetic pathway. When ingested, </w:t>
      </w:r>
      <w:r w:rsidRPr="00FB7680">
        <w:rPr>
          <w:rFonts w:cs="Arial"/>
          <w:color w:val="000000" w:themeColor="text1"/>
        </w:rPr>
        <w:t>β</w:t>
      </w:r>
      <w:r w:rsidRPr="00FB7680">
        <w:rPr>
          <w:color w:val="000000" w:themeColor="text1"/>
        </w:rPr>
        <w:t xml:space="preserve">-carotene is an effective source of vitamin A. </w:t>
      </w:r>
      <w:r w:rsidRPr="00FB7680">
        <w:rPr>
          <w:color w:val="000000" w:themeColor="text1"/>
          <w:lang w:val="en-AU"/>
        </w:rPr>
        <w:t>The name ‘Golden Rice’ has been used to describe a number of versions of rice containing these two proteins (not necessarily from the same genes</w:t>
      </w:r>
      <w:r>
        <w:rPr>
          <w:color w:val="000000" w:themeColor="text1"/>
          <w:lang w:val="en-AU"/>
        </w:rPr>
        <w:t xml:space="preserve"> as used in GR2E</w:t>
      </w:r>
      <w:r w:rsidRPr="00FB7680">
        <w:rPr>
          <w:color w:val="000000" w:themeColor="text1"/>
          <w:lang w:val="en-AU"/>
        </w:rPr>
        <w:t>).</w:t>
      </w:r>
    </w:p>
    <w:p w14:paraId="20643835" w14:textId="77777777" w:rsidR="00333AC0" w:rsidRPr="00FB7680" w:rsidRDefault="00333AC0" w:rsidP="00011A05">
      <w:pPr>
        <w:rPr>
          <w:color w:val="000000" w:themeColor="text1"/>
        </w:rPr>
      </w:pPr>
    </w:p>
    <w:p w14:paraId="20643836" w14:textId="77777777" w:rsidR="00333AC0" w:rsidRPr="00FB7680" w:rsidRDefault="00333AC0" w:rsidP="00011A05">
      <w:pPr>
        <w:rPr>
          <w:color w:val="000000" w:themeColor="text1"/>
          <w:szCs w:val="22"/>
        </w:rPr>
      </w:pPr>
      <w:r>
        <w:rPr>
          <w:color w:val="000000" w:themeColor="text1"/>
          <w:szCs w:val="22"/>
        </w:rPr>
        <w:t>The Applicant states</w:t>
      </w:r>
      <w:r w:rsidRPr="00FB7680">
        <w:rPr>
          <w:rFonts w:cs="Arial"/>
          <w:iCs/>
          <w:szCs w:val="22"/>
          <w:lang w:eastAsia="en-AU"/>
        </w:rPr>
        <w:t xml:space="preserve"> </w:t>
      </w:r>
      <w:r w:rsidRPr="00FB7680">
        <w:rPr>
          <w:rFonts w:cs="Arial"/>
          <w:szCs w:val="22"/>
          <w:lang w:eastAsia="en-AU"/>
        </w:rPr>
        <w:t>the intended purpose of GR2E is to complement existing vitamin A deficiency control efforts by supplying up to 30–50 percent of the estimated average requirement for vitamin A for preschool age children and pregnant or lactating mothers in high-risk countries, including Bangladesh, Indonesia, and the Philippines.</w:t>
      </w:r>
    </w:p>
    <w:p w14:paraId="20643837" w14:textId="77777777" w:rsidR="00333AC0" w:rsidRPr="00FB7680" w:rsidRDefault="00333AC0" w:rsidP="00011A05">
      <w:pPr>
        <w:rPr>
          <w:color w:val="000000" w:themeColor="text1"/>
        </w:rPr>
      </w:pPr>
    </w:p>
    <w:p w14:paraId="20643838" w14:textId="77777777" w:rsidR="00333AC0" w:rsidRPr="00ED2CC3" w:rsidRDefault="00333AC0" w:rsidP="00011A05">
      <w:pPr>
        <w:rPr>
          <w:szCs w:val="22"/>
          <w:lang w:val="en-US"/>
        </w:rPr>
      </w:pPr>
      <w:r w:rsidRPr="00FB7680">
        <w:rPr>
          <w:lang w:val="en-US"/>
        </w:rPr>
        <w:t xml:space="preserve">GR2E also contains the bacterial </w:t>
      </w:r>
      <w:r w:rsidRPr="00FB7680">
        <w:rPr>
          <w:i/>
          <w:lang w:val="en-US"/>
        </w:rPr>
        <w:t>phosphomannose isomerase</w:t>
      </w:r>
      <w:r w:rsidRPr="00FB7680">
        <w:rPr>
          <w:lang w:val="en-US"/>
        </w:rPr>
        <w:t xml:space="preserve"> (</w:t>
      </w:r>
      <w:r w:rsidRPr="00FB7680">
        <w:rPr>
          <w:i/>
          <w:lang w:val="en-US"/>
        </w:rPr>
        <w:t>pmi)</w:t>
      </w:r>
      <w:r w:rsidRPr="00FB7680">
        <w:rPr>
          <w:lang w:val="en-US"/>
        </w:rPr>
        <w:t xml:space="preserve"> gene, which is derived from </w:t>
      </w:r>
      <w:r w:rsidRPr="00FB7680">
        <w:rPr>
          <w:i/>
          <w:lang w:val="en-US"/>
        </w:rPr>
        <w:t>Escherichia coli</w:t>
      </w:r>
      <w:r w:rsidRPr="00FB7680">
        <w:rPr>
          <w:lang w:val="en-US"/>
        </w:rPr>
        <w:t xml:space="preserve"> strain K-12. Express</w:t>
      </w:r>
      <w:r>
        <w:rPr>
          <w:lang w:val="en-US"/>
        </w:rPr>
        <w:t xml:space="preserve">ion of the PMI protein in cells allows growth on mannose as a carbon source. </w:t>
      </w:r>
      <w:r w:rsidRPr="00ED2CC3">
        <w:rPr>
          <w:szCs w:val="22"/>
          <w:lang w:val="en-US"/>
        </w:rPr>
        <w:t xml:space="preserve">This was used as a selectable marker to assist with identification of transformed rice cells in the early stages of selection. The PMI protein has been </w:t>
      </w:r>
      <w:r>
        <w:rPr>
          <w:szCs w:val="22"/>
          <w:lang w:val="en-US"/>
        </w:rPr>
        <w:t xml:space="preserve">previously </w:t>
      </w:r>
      <w:r w:rsidRPr="00ED2CC3">
        <w:rPr>
          <w:szCs w:val="22"/>
          <w:lang w:val="en-US"/>
        </w:rPr>
        <w:t>as</w:t>
      </w:r>
      <w:r>
        <w:rPr>
          <w:szCs w:val="22"/>
          <w:lang w:val="en-US"/>
        </w:rPr>
        <w:t xml:space="preserve">sessed by FSANZ in four corn applications - </w:t>
      </w:r>
      <w:r w:rsidRPr="00ED2CC3">
        <w:rPr>
          <w:szCs w:val="22"/>
          <w:lang w:val="en-US"/>
        </w:rPr>
        <w:t>A564</w:t>
      </w:r>
      <w:r>
        <w:rPr>
          <w:szCs w:val="22"/>
          <w:lang w:val="en-US"/>
        </w:rPr>
        <w:t xml:space="preserve"> </w:t>
      </w:r>
      <w:r>
        <w:rPr>
          <w:noProof/>
        </w:rPr>
        <w:t>(FSANZ 2006)</w:t>
      </w:r>
      <w:r w:rsidRPr="00ED2CC3">
        <w:rPr>
          <w:szCs w:val="22"/>
          <w:lang w:val="en-US"/>
        </w:rPr>
        <w:t>, A580</w:t>
      </w:r>
      <w:r>
        <w:rPr>
          <w:szCs w:val="22"/>
          <w:lang w:val="en-US"/>
        </w:rPr>
        <w:t xml:space="preserve"> </w:t>
      </w:r>
      <w:r>
        <w:rPr>
          <w:noProof/>
        </w:rPr>
        <w:t>(FSANZ 2008b)</w:t>
      </w:r>
      <w:r w:rsidRPr="00ED2CC3">
        <w:rPr>
          <w:szCs w:val="22"/>
          <w:lang w:val="en-US"/>
        </w:rPr>
        <w:t>, A1001</w:t>
      </w:r>
      <w:r>
        <w:rPr>
          <w:szCs w:val="22"/>
          <w:lang w:val="en-US"/>
        </w:rPr>
        <w:t xml:space="preserve"> </w:t>
      </w:r>
      <w:r>
        <w:rPr>
          <w:noProof/>
        </w:rPr>
        <w:t>(FSANZ 2008a)</w:t>
      </w:r>
      <w:r>
        <w:rPr>
          <w:szCs w:val="22"/>
          <w:lang w:val="en-US"/>
        </w:rPr>
        <w:t xml:space="preserve">, A1060 </w:t>
      </w:r>
      <w:r>
        <w:rPr>
          <w:noProof/>
        </w:rPr>
        <w:t>(FSANZ 2012)</w:t>
      </w:r>
      <w:r w:rsidRPr="00ED2CC3">
        <w:rPr>
          <w:szCs w:val="22"/>
          <w:lang w:val="en-US"/>
        </w:rPr>
        <w:t>.</w:t>
      </w:r>
    </w:p>
    <w:p w14:paraId="20643839" w14:textId="77777777" w:rsidR="00333AC0" w:rsidRPr="00ED2CC3" w:rsidRDefault="00333AC0" w:rsidP="00011A05">
      <w:pPr>
        <w:rPr>
          <w:szCs w:val="22"/>
          <w:lang w:val="en-US"/>
        </w:rPr>
      </w:pPr>
    </w:p>
    <w:p w14:paraId="2064383A" w14:textId="77777777" w:rsidR="00333AC0" w:rsidRPr="00D32FED" w:rsidRDefault="00333AC0" w:rsidP="00011A05">
      <w:pPr>
        <w:widowControl/>
        <w:autoSpaceDE w:val="0"/>
        <w:autoSpaceDN w:val="0"/>
        <w:adjustRightInd w:val="0"/>
        <w:rPr>
          <w:rFonts w:cs="Arial"/>
          <w:iCs/>
          <w:color w:val="000000" w:themeColor="text1"/>
          <w:szCs w:val="22"/>
          <w:lang w:eastAsia="en-AU"/>
        </w:rPr>
      </w:pPr>
      <w:r w:rsidRPr="00ED2CC3">
        <w:rPr>
          <w:rFonts w:cs="Arial"/>
          <w:szCs w:val="22"/>
          <w:lang w:eastAsia="en-AU"/>
        </w:rPr>
        <w:t xml:space="preserve">GR2E </w:t>
      </w:r>
      <w:r>
        <w:rPr>
          <w:rFonts w:cs="Arial"/>
          <w:szCs w:val="22"/>
          <w:lang w:eastAsia="en-AU"/>
        </w:rPr>
        <w:t>was developed from a specific rice cultivar (</w:t>
      </w:r>
      <w:r w:rsidRPr="00B275D4">
        <w:rPr>
          <w:rFonts w:cs="Arial"/>
          <w:szCs w:val="22"/>
          <w:lang w:eastAsia="en-AU"/>
        </w:rPr>
        <w:t xml:space="preserve">see Section 2.1 below). </w:t>
      </w:r>
      <w:r w:rsidRPr="00B275D4">
        <w:rPr>
          <w:rFonts w:cs="Arial"/>
          <w:color w:val="000000" w:themeColor="text1"/>
          <w:szCs w:val="22"/>
          <w:lang w:eastAsia="en-AU"/>
        </w:rPr>
        <w:t>Countries</w:t>
      </w:r>
      <w:r>
        <w:rPr>
          <w:rFonts w:cs="Arial"/>
          <w:color w:val="000000" w:themeColor="text1"/>
          <w:szCs w:val="22"/>
          <w:lang w:eastAsia="en-AU"/>
        </w:rPr>
        <w:t xml:space="preserve"> that wish to adopt the Golden Rice technology are free to introduce the GR2E event into preferred varieties that suit the local environment and meet </w:t>
      </w:r>
      <w:hyperlink r:id="rId18" w:history="1">
        <w:r w:rsidRPr="00A02BD2">
          <w:rPr>
            <w:rStyle w:val="Hyperlink"/>
            <w:rFonts w:cs="Arial"/>
            <w:szCs w:val="22"/>
            <w:lang w:eastAsia="en-AU"/>
          </w:rPr>
          <w:t>certain humanitarian use criteria</w:t>
        </w:r>
      </w:hyperlink>
      <w:r>
        <w:rPr>
          <w:rStyle w:val="FootnoteReference"/>
          <w:rFonts w:cs="Arial"/>
          <w:color w:val="000000" w:themeColor="text1"/>
          <w:szCs w:val="22"/>
          <w:lang w:eastAsia="en-AU"/>
        </w:rPr>
        <w:footnoteReference w:id="1"/>
      </w:r>
      <w:r>
        <w:rPr>
          <w:rFonts w:cs="Arial"/>
          <w:iCs/>
          <w:color w:val="000000" w:themeColor="text1"/>
          <w:szCs w:val="22"/>
          <w:lang w:eastAsia="en-AU"/>
        </w:rPr>
        <w:t xml:space="preserve">. </w:t>
      </w:r>
      <w:r>
        <w:rPr>
          <w:rFonts w:cs="Arial"/>
          <w:szCs w:val="22"/>
          <w:lang w:eastAsia="en-AU"/>
        </w:rPr>
        <w:t xml:space="preserve">Rice containing the GR2E event </w:t>
      </w:r>
      <w:r w:rsidRPr="00ED2CC3">
        <w:rPr>
          <w:rFonts w:cs="Arial"/>
          <w:szCs w:val="22"/>
          <w:lang w:eastAsia="en-AU"/>
        </w:rPr>
        <w:t>is not intended for commercialisation (either growing or intentional sale</w:t>
      </w:r>
      <w:r>
        <w:rPr>
          <w:rFonts w:cs="Arial"/>
          <w:szCs w:val="22"/>
          <w:lang w:eastAsia="en-AU"/>
        </w:rPr>
        <w:t xml:space="preserve"> in the food supply</w:t>
      </w:r>
      <w:r w:rsidRPr="00ED2CC3">
        <w:rPr>
          <w:rFonts w:cs="Arial"/>
          <w:szCs w:val="22"/>
          <w:lang w:eastAsia="en-AU"/>
        </w:rPr>
        <w:t xml:space="preserve">) in Australia or New Zealand but it is possible it could inadvertently enter the food </w:t>
      </w:r>
      <w:r w:rsidRPr="00D32FED">
        <w:rPr>
          <w:rFonts w:cs="Arial"/>
          <w:color w:val="000000" w:themeColor="text1"/>
          <w:szCs w:val="22"/>
          <w:lang w:eastAsia="en-AU"/>
        </w:rPr>
        <w:t>supply via exports from countries that may supply significant quantities of milled rice to Australia/New Zealand.</w:t>
      </w:r>
      <w:r>
        <w:rPr>
          <w:rFonts w:cs="Arial"/>
          <w:color w:val="000000" w:themeColor="text1"/>
          <w:szCs w:val="22"/>
          <w:lang w:eastAsia="en-AU"/>
        </w:rPr>
        <w:t xml:space="preserve"> </w:t>
      </w:r>
    </w:p>
    <w:p w14:paraId="2064383B" w14:textId="77777777" w:rsidR="00333AC0" w:rsidRPr="00D32FED" w:rsidRDefault="00333AC0" w:rsidP="00011A05">
      <w:pPr>
        <w:rPr>
          <w:color w:val="000000" w:themeColor="text1"/>
          <w:lang w:val="en-AU"/>
        </w:rPr>
      </w:pPr>
    </w:p>
    <w:p w14:paraId="2064383C" w14:textId="77777777" w:rsidR="00333AC0" w:rsidRPr="00D32FED" w:rsidRDefault="00333AC0" w:rsidP="00011A05">
      <w:pPr>
        <w:pStyle w:val="Heading1"/>
        <w:ind w:left="720" w:hanging="720"/>
        <w:jc w:val="both"/>
        <w:rPr>
          <w:color w:val="000000" w:themeColor="text1"/>
          <w:szCs w:val="36"/>
        </w:rPr>
      </w:pPr>
      <w:bookmarkStart w:id="14" w:name="_Toc470008711"/>
      <w:r w:rsidRPr="00D32FED">
        <w:rPr>
          <w:color w:val="000000" w:themeColor="text1"/>
          <w:szCs w:val="36"/>
        </w:rPr>
        <w:t>2</w:t>
      </w:r>
      <w:r w:rsidRPr="00D32FED">
        <w:rPr>
          <w:color w:val="000000" w:themeColor="text1"/>
          <w:szCs w:val="36"/>
        </w:rPr>
        <w:tab/>
        <w:t>History of use</w:t>
      </w:r>
      <w:bookmarkEnd w:id="14"/>
      <w:r w:rsidRPr="00D32FED">
        <w:rPr>
          <w:color w:val="000000" w:themeColor="text1"/>
          <w:szCs w:val="36"/>
        </w:rPr>
        <w:t xml:space="preserve"> </w:t>
      </w:r>
    </w:p>
    <w:p w14:paraId="2064383D" w14:textId="77777777" w:rsidR="00333AC0" w:rsidRPr="00D32FED" w:rsidRDefault="00333AC0" w:rsidP="00011A05">
      <w:pPr>
        <w:pStyle w:val="Heading2"/>
        <w:rPr>
          <w:color w:val="000000" w:themeColor="text1"/>
        </w:rPr>
      </w:pPr>
      <w:bookmarkStart w:id="15" w:name="_Toc470008712"/>
      <w:r w:rsidRPr="00D32FED">
        <w:rPr>
          <w:color w:val="000000" w:themeColor="text1"/>
        </w:rPr>
        <w:t>2.1</w:t>
      </w:r>
      <w:r w:rsidRPr="00D32FED">
        <w:rPr>
          <w:color w:val="000000" w:themeColor="text1"/>
        </w:rPr>
        <w:tab/>
        <w:t>Host organism</w:t>
      </w:r>
      <w:bookmarkEnd w:id="15"/>
    </w:p>
    <w:p w14:paraId="2064383E" w14:textId="77777777" w:rsidR="00333AC0" w:rsidRPr="00AF752A" w:rsidRDefault="00333AC0" w:rsidP="00011A05">
      <w:pPr>
        <w:rPr>
          <w:color w:val="000000" w:themeColor="text1"/>
        </w:rPr>
      </w:pPr>
      <w:r w:rsidRPr="00AF752A">
        <w:rPr>
          <w:color w:val="000000" w:themeColor="text1"/>
          <w:lang w:val="en-AU"/>
        </w:rPr>
        <w:t xml:space="preserve">Unless otherwise referenced, the following description of the host organism was adapted from documents published by the Australian Government Office of the Gene Technology Regulator </w:t>
      </w:r>
      <w:r w:rsidRPr="00FB7680">
        <w:rPr>
          <w:noProof/>
          <w:color w:val="000000" w:themeColor="text1"/>
          <w:lang w:val="en-AU"/>
        </w:rPr>
        <w:t>(OGTR 2005)</w:t>
      </w:r>
      <w:r w:rsidRPr="00FB7680">
        <w:rPr>
          <w:color w:val="000000" w:themeColor="text1"/>
          <w:lang w:val="en-AU"/>
        </w:rPr>
        <w:t xml:space="preserve">, the International Life Sciences Institute </w:t>
      </w:r>
      <w:r w:rsidRPr="00FB7680">
        <w:rPr>
          <w:noProof/>
          <w:color w:val="000000" w:themeColor="text1"/>
          <w:lang w:val="en-AU"/>
        </w:rPr>
        <w:t>(ILSI 2008)</w:t>
      </w:r>
      <w:r w:rsidRPr="00FB7680">
        <w:rPr>
          <w:color w:val="000000" w:themeColor="text1"/>
          <w:lang w:val="en-AU"/>
        </w:rPr>
        <w:t xml:space="preserve">, the Global Rice Science Partnership </w:t>
      </w:r>
      <w:r w:rsidRPr="00FB7680">
        <w:rPr>
          <w:noProof/>
          <w:color w:val="000000" w:themeColor="text1"/>
          <w:lang w:val="en-AU"/>
        </w:rPr>
        <w:t>(GRiSP 2013)</w:t>
      </w:r>
      <w:r>
        <w:rPr>
          <w:color w:val="000000" w:themeColor="text1"/>
          <w:lang w:val="en-AU"/>
        </w:rPr>
        <w:t xml:space="preserve"> Muthayya et al. </w:t>
      </w:r>
      <w:r>
        <w:rPr>
          <w:noProof/>
          <w:color w:val="000000" w:themeColor="text1"/>
          <w:lang w:val="en-AU"/>
        </w:rPr>
        <w:t>(2014)</w:t>
      </w:r>
      <w:r w:rsidRPr="00FB7680">
        <w:rPr>
          <w:color w:val="000000" w:themeColor="text1"/>
          <w:lang w:val="en-AU"/>
        </w:rPr>
        <w:t xml:space="preserve"> </w:t>
      </w:r>
      <w:r>
        <w:rPr>
          <w:color w:val="000000" w:themeColor="text1"/>
          <w:lang w:val="en-AU"/>
        </w:rPr>
        <w:t xml:space="preserve">and OECD </w:t>
      </w:r>
      <w:r>
        <w:rPr>
          <w:noProof/>
          <w:color w:val="000000" w:themeColor="text1"/>
          <w:lang w:val="en-AU"/>
        </w:rPr>
        <w:t>(2016)</w:t>
      </w:r>
      <w:r>
        <w:rPr>
          <w:color w:val="000000" w:themeColor="text1"/>
          <w:lang w:val="en-AU"/>
        </w:rPr>
        <w:t>. S</w:t>
      </w:r>
      <w:r w:rsidRPr="00FB7680">
        <w:rPr>
          <w:color w:val="000000" w:themeColor="text1"/>
          <w:lang w:val="en-AU"/>
        </w:rPr>
        <w:t xml:space="preserve">tatistical data are from the </w:t>
      </w:r>
      <w:r>
        <w:rPr>
          <w:color w:val="000000" w:themeColor="text1"/>
          <w:lang w:val="en-AU"/>
        </w:rPr>
        <w:t xml:space="preserve">most recent data available from the </w:t>
      </w:r>
      <w:r w:rsidRPr="00FB7680">
        <w:rPr>
          <w:color w:val="000000" w:themeColor="text1"/>
        </w:rPr>
        <w:t xml:space="preserve">Food and Agriculture Organization of the United Nations </w:t>
      </w:r>
      <w:r>
        <w:rPr>
          <w:noProof/>
          <w:color w:val="000000" w:themeColor="text1"/>
        </w:rPr>
        <w:t>(FAOSTAT 2017)</w:t>
      </w:r>
      <w:r w:rsidRPr="00FB7680">
        <w:rPr>
          <w:color w:val="000000" w:themeColor="text1"/>
        </w:rPr>
        <w:t>.</w:t>
      </w:r>
    </w:p>
    <w:p w14:paraId="2064383F" w14:textId="77777777" w:rsidR="00333AC0" w:rsidRPr="00AF752A" w:rsidRDefault="00333AC0" w:rsidP="00011A05">
      <w:pPr>
        <w:rPr>
          <w:color w:val="000000" w:themeColor="text1"/>
        </w:rPr>
      </w:pPr>
    </w:p>
    <w:p w14:paraId="20643840" w14:textId="77777777" w:rsidR="00333AC0" w:rsidRDefault="00333AC0" w:rsidP="00011A05">
      <w:pPr>
        <w:rPr>
          <w:color w:val="000000" w:themeColor="text1"/>
        </w:rPr>
      </w:pPr>
      <w:r w:rsidRPr="00AF752A">
        <w:rPr>
          <w:color w:val="000000" w:themeColor="text1"/>
        </w:rPr>
        <w:t>Rice</w:t>
      </w:r>
      <w:r>
        <w:rPr>
          <w:color w:val="000000" w:themeColor="text1"/>
        </w:rPr>
        <w:t xml:space="preserve"> (</w:t>
      </w:r>
      <w:r w:rsidRPr="00AF752A">
        <w:rPr>
          <w:i/>
          <w:color w:val="000000" w:themeColor="text1"/>
        </w:rPr>
        <w:t>Oryza</w:t>
      </w:r>
      <w:r>
        <w:rPr>
          <w:color w:val="000000" w:themeColor="text1"/>
        </w:rPr>
        <w:t xml:space="preserve"> spp.) is a significant calor</w:t>
      </w:r>
      <w:r w:rsidRPr="00AF752A">
        <w:rPr>
          <w:color w:val="000000" w:themeColor="text1"/>
        </w:rPr>
        <w:t xml:space="preserve">ic source for over half of the world’s population and the cultivated species </w:t>
      </w:r>
      <w:r w:rsidRPr="00ED7929">
        <w:rPr>
          <w:i/>
          <w:color w:val="000000" w:themeColor="text1"/>
        </w:rPr>
        <w:t>Oryza sativa</w:t>
      </w:r>
      <w:r w:rsidRPr="00ED7929">
        <w:rPr>
          <w:color w:val="000000" w:themeColor="text1"/>
        </w:rPr>
        <w:t xml:space="preserve"> is the most widely grown. The earliest evidence of cultivation of </w:t>
      </w:r>
      <w:r w:rsidRPr="00ED7929">
        <w:rPr>
          <w:i/>
          <w:color w:val="000000" w:themeColor="text1"/>
        </w:rPr>
        <w:t>O. sativa</w:t>
      </w:r>
      <w:r w:rsidRPr="00ED7929">
        <w:rPr>
          <w:color w:val="000000" w:themeColor="text1"/>
        </w:rPr>
        <w:t xml:space="preserve"> was in Southeast Asia and dates back to between 8,000 and 15,000 years ago. Thousands of cultivars are now grown in over 100 countries. There are three main ecological varieties – indica (</w:t>
      </w:r>
      <w:r>
        <w:rPr>
          <w:color w:val="000000" w:themeColor="text1"/>
        </w:rPr>
        <w:t xml:space="preserve">distribution in </w:t>
      </w:r>
      <w:r w:rsidRPr="00ED7929">
        <w:rPr>
          <w:color w:val="000000" w:themeColor="text1"/>
        </w:rPr>
        <w:t xml:space="preserve">tropical and sub-tropical </w:t>
      </w:r>
      <w:r>
        <w:rPr>
          <w:color w:val="000000" w:themeColor="text1"/>
        </w:rPr>
        <w:t xml:space="preserve">Asia and accounting for </w:t>
      </w:r>
      <w:r w:rsidRPr="003129BC">
        <w:rPr>
          <w:i/>
          <w:color w:val="000000" w:themeColor="text1"/>
        </w:rPr>
        <w:t>ca.</w:t>
      </w:r>
      <w:r>
        <w:rPr>
          <w:color w:val="000000" w:themeColor="text1"/>
        </w:rPr>
        <w:t xml:space="preserve"> 80% of global rice production</w:t>
      </w:r>
      <w:r w:rsidRPr="00ED7929">
        <w:rPr>
          <w:color w:val="000000" w:themeColor="text1"/>
        </w:rPr>
        <w:t xml:space="preserve">), javanica </w:t>
      </w:r>
      <w:r>
        <w:rPr>
          <w:color w:val="000000" w:themeColor="text1"/>
        </w:rPr>
        <w:t>(</w:t>
      </w:r>
      <w:r w:rsidRPr="00ED7929">
        <w:rPr>
          <w:color w:val="000000" w:themeColor="text1"/>
        </w:rPr>
        <w:t>grown in Indonesia</w:t>
      </w:r>
      <w:r>
        <w:rPr>
          <w:color w:val="000000" w:themeColor="text1"/>
        </w:rPr>
        <w:t xml:space="preserve"> and the Philippines</w:t>
      </w:r>
      <w:r w:rsidRPr="00ED7929">
        <w:rPr>
          <w:color w:val="000000" w:themeColor="text1"/>
        </w:rPr>
        <w:t>) and japonica (temperate distribution</w:t>
      </w:r>
      <w:r>
        <w:rPr>
          <w:color w:val="000000" w:themeColor="text1"/>
        </w:rPr>
        <w:t xml:space="preserve"> – especially Japan, northern China, Europe and Australia</w:t>
      </w:r>
      <w:r w:rsidRPr="00ED7929">
        <w:rPr>
          <w:color w:val="000000" w:themeColor="text1"/>
        </w:rPr>
        <w:t>)</w:t>
      </w:r>
      <w:r>
        <w:rPr>
          <w:color w:val="000000" w:themeColor="text1"/>
        </w:rPr>
        <w:t>.</w:t>
      </w:r>
    </w:p>
    <w:p w14:paraId="20643841" w14:textId="77777777" w:rsidR="00333AC0" w:rsidRDefault="00333AC0" w:rsidP="00011A05">
      <w:pPr>
        <w:rPr>
          <w:color w:val="000000" w:themeColor="text1"/>
        </w:rPr>
      </w:pPr>
    </w:p>
    <w:p w14:paraId="20643842" w14:textId="77777777" w:rsidR="00333AC0" w:rsidRDefault="00333AC0" w:rsidP="00011A05">
      <w:pPr>
        <w:rPr>
          <w:color w:val="000000" w:themeColor="text1"/>
          <w:szCs w:val="22"/>
        </w:rPr>
      </w:pPr>
      <w:r w:rsidRPr="002F19B2">
        <w:rPr>
          <w:color w:val="000000" w:themeColor="text1"/>
          <w:szCs w:val="22"/>
        </w:rPr>
        <w:t>The parent line that was transformed to give GR2E is Kaybonnet</w:t>
      </w:r>
      <w:r>
        <w:rPr>
          <w:color w:val="000000" w:themeColor="text1"/>
          <w:szCs w:val="22"/>
        </w:rPr>
        <w:t xml:space="preserve"> </w:t>
      </w:r>
      <w:r w:rsidRPr="00604683">
        <w:rPr>
          <w:noProof/>
          <w:color w:val="000000" w:themeColor="text1"/>
          <w:szCs w:val="22"/>
        </w:rPr>
        <w:t>(Gravois et al. 1995)</w:t>
      </w:r>
      <w:r w:rsidRPr="00604683">
        <w:rPr>
          <w:color w:val="000000" w:themeColor="text1"/>
          <w:szCs w:val="22"/>
        </w:rPr>
        <w:t>.</w:t>
      </w:r>
      <w:r w:rsidRPr="002F19B2">
        <w:rPr>
          <w:color w:val="000000" w:themeColor="text1"/>
          <w:szCs w:val="22"/>
        </w:rPr>
        <w:t xml:space="preserve"> </w:t>
      </w:r>
      <w:r w:rsidRPr="002F19B2">
        <w:rPr>
          <w:rFonts w:cs="Arial"/>
          <w:color w:val="000000"/>
          <w:szCs w:val="22"/>
          <w:lang w:val="en"/>
        </w:rPr>
        <w:t>For technical reasons the cultivars donated for humanitarian use in the Golden Rice project were North American varieties</w:t>
      </w:r>
      <w:r>
        <w:rPr>
          <w:rFonts w:cs="Arial"/>
          <w:color w:val="000000"/>
          <w:szCs w:val="22"/>
          <w:lang w:val="en"/>
        </w:rPr>
        <w:t>,</w:t>
      </w:r>
      <w:r w:rsidRPr="002F19B2">
        <w:rPr>
          <w:rFonts w:cs="Arial"/>
          <w:color w:val="000000"/>
          <w:szCs w:val="22"/>
          <w:lang w:val="en"/>
        </w:rPr>
        <w:t xml:space="preserve"> of which Kaybonnet was one. </w:t>
      </w:r>
      <w:r w:rsidRPr="002F19B2">
        <w:rPr>
          <w:color w:val="000000" w:themeColor="text1"/>
          <w:szCs w:val="22"/>
        </w:rPr>
        <w:t>This long-grain cultivar was developed jointly by the Arkansas Agricultural Exp</w:t>
      </w:r>
      <w:r>
        <w:rPr>
          <w:color w:val="000000" w:themeColor="text1"/>
          <w:szCs w:val="22"/>
        </w:rPr>
        <w:t>eriment Station and the United States Department of Agriculture Agricultural Research Service</w:t>
      </w:r>
      <w:r w:rsidRPr="002F19B2">
        <w:rPr>
          <w:color w:val="000000" w:themeColor="text1"/>
          <w:szCs w:val="22"/>
        </w:rPr>
        <w:t xml:space="preserve"> and was released in 1994 for its blast resistance, high yield potential and excellent milling yields. It is a tropical japonica cultivar with an introgression from indica </w:t>
      </w:r>
      <w:r>
        <w:rPr>
          <w:noProof/>
          <w:color w:val="000000" w:themeColor="text1"/>
          <w:szCs w:val="22"/>
        </w:rPr>
        <w:t>(Jia et al. 2012)</w:t>
      </w:r>
      <w:r>
        <w:rPr>
          <w:color w:val="000000" w:themeColor="text1"/>
          <w:szCs w:val="22"/>
        </w:rPr>
        <w:t>.</w:t>
      </w:r>
    </w:p>
    <w:p w14:paraId="20643843" w14:textId="77777777" w:rsidR="00333AC0" w:rsidRDefault="00333AC0" w:rsidP="00011A05">
      <w:pPr>
        <w:rPr>
          <w:color w:val="000000" w:themeColor="text1"/>
          <w:szCs w:val="22"/>
        </w:rPr>
      </w:pPr>
    </w:p>
    <w:p w14:paraId="20643844" w14:textId="77777777" w:rsidR="00333AC0" w:rsidRDefault="00333AC0" w:rsidP="00011A05">
      <w:pPr>
        <w:rPr>
          <w:rFonts w:cs="Arial"/>
          <w:color w:val="000000" w:themeColor="text1"/>
          <w:szCs w:val="22"/>
        </w:rPr>
      </w:pPr>
      <w:r>
        <w:rPr>
          <w:color w:val="000000" w:themeColor="text1"/>
          <w:szCs w:val="22"/>
        </w:rPr>
        <w:t xml:space="preserve">Rice is grown mainly as an annual under a variety of water regimes that range from unsubmerged upland rice (about 10% of total cultivation), moderately submerged lowland rice (irrigated – 45% or rain-fed – 30%) and submerged (up to 6 m of water – 11% or floating – 4%). Worldwide, rice production was significantly increased as a result of the Green Revolution between the 1940s and the late 1960s which led to semi-dwarf, early maturing varieties that allowed up to </w:t>
      </w:r>
      <w:r w:rsidRPr="00AE4A27">
        <w:rPr>
          <w:rFonts w:cs="Arial"/>
          <w:color w:val="000000" w:themeColor="text1"/>
          <w:szCs w:val="22"/>
        </w:rPr>
        <w:t xml:space="preserve">three plantings a year. </w:t>
      </w:r>
    </w:p>
    <w:p w14:paraId="20643845" w14:textId="77777777" w:rsidR="00333AC0" w:rsidRPr="00AE4A27" w:rsidRDefault="00333AC0" w:rsidP="00011A05">
      <w:pPr>
        <w:rPr>
          <w:rFonts w:cs="Arial"/>
          <w:color w:val="000000" w:themeColor="text1"/>
          <w:szCs w:val="22"/>
        </w:rPr>
      </w:pPr>
    </w:p>
    <w:p w14:paraId="20643846" w14:textId="77777777" w:rsidR="00333AC0" w:rsidRPr="00FB7680" w:rsidRDefault="00333AC0" w:rsidP="00011A05">
      <w:pPr>
        <w:widowControl/>
        <w:autoSpaceDE w:val="0"/>
        <w:autoSpaceDN w:val="0"/>
        <w:adjustRightInd w:val="0"/>
        <w:rPr>
          <w:rFonts w:cs="Arial"/>
          <w:color w:val="000000" w:themeColor="text1"/>
          <w:szCs w:val="22"/>
        </w:rPr>
      </w:pPr>
      <w:r w:rsidRPr="00AE4A27">
        <w:rPr>
          <w:rFonts w:cs="Arial"/>
          <w:color w:val="000000" w:themeColor="text1"/>
          <w:szCs w:val="22"/>
          <w:lang w:eastAsia="en-GB" w:bidi="ar-SA"/>
        </w:rPr>
        <w:t>Paddy rice (also known as ‘rough’ rice) is the name given to harvested and threshed rice grains that comprise an outer hull (also called husk) l</w:t>
      </w:r>
      <w:r>
        <w:rPr>
          <w:rFonts w:cs="Arial"/>
          <w:color w:val="000000" w:themeColor="text1"/>
          <w:szCs w:val="22"/>
          <w:lang w:eastAsia="en-GB" w:bidi="ar-SA"/>
        </w:rPr>
        <w:t xml:space="preserve">ayer plus germ and bran </w:t>
      </w:r>
      <w:r w:rsidRPr="00B275D4">
        <w:rPr>
          <w:rFonts w:cs="Arial"/>
          <w:color w:val="000000" w:themeColor="text1"/>
          <w:szCs w:val="22"/>
          <w:lang w:eastAsia="en-GB" w:bidi="ar-SA"/>
        </w:rPr>
        <w:t>layers (Figure 1). Removal of hulls (‘dehulled’ or ‘unpolished’ rice) through a preliminary milling gives brown rice while further milling also removes the germ and bran layers to give white rice. Since</w:t>
      </w:r>
      <w:r w:rsidRPr="00AE4A27">
        <w:rPr>
          <w:rFonts w:cs="Arial"/>
          <w:color w:val="000000" w:themeColor="text1"/>
          <w:szCs w:val="22"/>
          <w:lang w:eastAsia="en-GB" w:bidi="ar-SA"/>
        </w:rPr>
        <w:t xml:space="preserve"> a high proportion of</w:t>
      </w:r>
      <w:r>
        <w:rPr>
          <w:rFonts w:cs="Arial"/>
          <w:color w:val="000000" w:themeColor="text1"/>
          <w:szCs w:val="22"/>
          <w:lang w:eastAsia="en-GB" w:bidi="ar-SA"/>
        </w:rPr>
        <w:t xml:space="preserve"> vitamins, </w:t>
      </w:r>
      <w:r w:rsidRPr="00AE4A27">
        <w:rPr>
          <w:rFonts w:cs="Arial"/>
          <w:color w:val="000000" w:themeColor="text1"/>
          <w:szCs w:val="22"/>
          <w:lang w:eastAsia="en-GB" w:bidi="ar-SA"/>
        </w:rPr>
        <w:t>minerals</w:t>
      </w:r>
      <w:r>
        <w:rPr>
          <w:rFonts w:cs="Arial"/>
          <w:color w:val="000000" w:themeColor="text1"/>
          <w:szCs w:val="22"/>
          <w:lang w:eastAsia="en-GB" w:bidi="ar-SA"/>
        </w:rPr>
        <w:t xml:space="preserve"> and dietary fibre</w:t>
      </w:r>
      <w:r w:rsidRPr="00AE4A27">
        <w:rPr>
          <w:rFonts w:cs="Arial"/>
          <w:color w:val="000000" w:themeColor="text1"/>
          <w:szCs w:val="22"/>
          <w:lang w:eastAsia="en-GB" w:bidi="ar-SA"/>
        </w:rPr>
        <w:t xml:space="preserve"> are found in the germ and bran layers, </w:t>
      </w:r>
      <w:r>
        <w:rPr>
          <w:rFonts w:cs="Arial"/>
          <w:color w:val="000000" w:themeColor="text1"/>
          <w:szCs w:val="22"/>
          <w:lang w:eastAsia="en-GB" w:bidi="ar-SA"/>
        </w:rPr>
        <w:t xml:space="preserve">increased </w:t>
      </w:r>
      <w:r w:rsidRPr="00AE4A27">
        <w:rPr>
          <w:rFonts w:cs="Arial"/>
          <w:color w:val="000000" w:themeColor="text1"/>
          <w:szCs w:val="22"/>
          <w:lang w:eastAsia="en-GB" w:bidi="ar-SA"/>
        </w:rPr>
        <w:t xml:space="preserve">milling depletes the nutritional value of the grain. </w:t>
      </w:r>
      <w:r>
        <w:rPr>
          <w:rFonts w:cs="Arial"/>
          <w:color w:val="000000" w:themeColor="text1"/>
          <w:szCs w:val="22"/>
          <w:lang w:eastAsia="en-GB" w:bidi="ar-SA"/>
        </w:rPr>
        <w:t xml:space="preserve">On the other hand, since white rice does not have the oil-rich bran layer, it stores for much longer than brown rice; the main reason for milling of rice for use in tropical and sub-tropical climates is to prevent losses due to rancidity </w:t>
      </w:r>
      <w:r>
        <w:rPr>
          <w:rFonts w:cs="Arial"/>
          <w:noProof/>
          <w:color w:val="000000" w:themeColor="text1"/>
          <w:szCs w:val="22"/>
          <w:lang w:eastAsia="en-GB" w:bidi="ar-SA"/>
        </w:rPr>
        <w:t>(Beyer et al. 2002)</w:t>
      </w:r>
      <w:r>
        <w:rPr>
          <w:rFonts w:cs="Arial"/>
          <w:color w:val="000000" w:themeColor="text1"/>
          <w:szCs w:val="22"/>
          <w:lang w:eastAsia="en-GB" w:bidi="ar-SA"/>
        </w:rPr>
        <w:t xml:space="preserve">. A process called ‘parboiling’, in which raw paddy rice grains are soaked in water and partially steamed before drying and milling, is sometimes employed to promote the migration of B vitamins into the grain and, hence, improve retention in white rice; parboiling also improves rice hardness and therefore reduces breakage loss during subsequent milling. In the United States of America </w:t>
      </w:r>
      <w:r w:rsidRPr="00FB7680">
        <w:rPr>
          <w:rFonts w:cs="Arial"/>
          <w:color w:val="000000" w:themeColor="text1"/>
          <w:szCs w:val="22"/>
          <w:lang w:eastAsia="en-GB" w:bidi="ar-SA"/>
        </w:rPr>
        <w:t>(U.S.) most fully milled and polished white rice is ‘enriched’ with vitamins B1, B3, iron and folic acid. Milled rice in general comprises ‘head-rice’ (high value intact grains) and ‘broken-rice’ (low value broken grains).</w:t>
      </w:r>
      <w:r w:rsidRPr="00FB7680">
        <w:rPr>
          <w:rFonts w:cs="Arial"/>
          <w:color w:val="000000" w:themeColor="text1"/>
          <w:szCs w:val="22"/>
        </w:rPr>
        <w:t xml:space="preserve"> </w:t>
      </w:r>
    </w:p>
    <w:p w14:paraId="20643847" w14:textId="77777777" w:rsidR="00333AC0" w:rsidRPr="00FB7680" w:rsidRDefault="00333AC0" w:rsidP="00011A05">
      <w:pPr>
        <w:widowControl/>
        <w:autoSpaceDE w:val="0"/>
        <w:autoSpaceDN w:val="0"/>
        <w:adjustRightInd w:val="0"/>
        <w:rPr>
          <w:rFonts w:cs="Arial"/>
          <w:color w:val="000000" w:themeColor="text1"/>
          <w:szCs w:val="22"/>
        </w:rPr>
      </w:pPr>
    </w:p>
    <w:p w14:paraId="20643848" w14:textId="77777777" w:rsidR="00333AC0" w:rsidRPr="00AE4A27" w:rsidRDefault="00333AC0" w:rsidP="00011A05">
      <w:pPr>
        <w:rPr>
          <w:rFonts w:cs="Arial"/>
          <w:color w:val="000000" w:themeColor="text1"/>
          <w:szCs w:val="22"/>
        </w:rPr>
      </w:pPr>
      <w:r w:rsidRPr="00FB7680">
        <w:rPr>
          <w:rFonts w:cs="Arial"/>
          <w:color w:val="000000" w:themeColor="text1"/>
          <w:szCs w:val="22"/>
        </w:rPr>
        <w:t>In terms of production, paddy rice is the world’s second most dominant cereal crop behind corn. In 2014 world production was nearly 741 MT with mainland China (206 MT), India (157 MT), Indonesia (70 MT), Bangladesh (52 MT) and Viet</w:t>
      </w:r>
      <w:r>
        <w:rPr>
          <w:rFonts w:cs="Arial"/>
          <w:color w:val="000000" w:themeColor="text1"/>
          <w:szCs w:val="22"/>
        </w:rPr>
        <w:t xml:space="preserve"> Nam (45 MT) being the top five producers. The Asian region accounted for 91% of production. The paddy rice global production translated to approximately 494 MT milled rice in 2014; the </w:t>
      </w:r>
      <w:r w:rsidRPr="001379A4">
        <w:rPr>
          <w:rFonts w:cs="Arial"/>
          <w:color w:val="000000" w:themeColor="text1"/>
          <w:szCs w:val="22"/>
        </w:rPr>
        <w:t xml:space="preserve">current (November 2016) </w:t>
      </w:r>
      <w:hyperlink r:id="rId19" w:history="1">
        <w:r w:rsidRPr="001379A4">
          <w:rPr>
            <w:rStyle w:val="Hyperlink"/>
            <w:rFonts w:cs="Arial"/>
            <w:szCs w:val="22"/>
          </w:rPr>
          <w:t>forecast for milled rice production</w:t>
        </w:r>
      </w:hyperlink>
      <w:r>
        <w:rPr>
          <w:rStyle w:val="FootnoteReference"/>
          <w:rFonts w:cs="Arial"/>
          <w:color w:val="000000" w:themeColor="text1"/>
          <w:szCs w:val="22"/>
        </w:rPr>
        <w:footnoteReference w:id="2"/>
      </w:r>
      <w:r>
        <w:rPr>
          <w:rFonts w:cs="Arial"/>
          <w:color w:val="000000" w:themeColor="text1"/>
          <w:szCs w:val="22"/>
        </w:rPr>
        <w:t xml:space="preserve"> in 2016/2017 is 498 MT. Most rice is eaten in the same country where it is produced and global trade accounts for less than 10% of total production. Australia, while being a modest producer (819,000 T in 2014), is a net exporter of milled rice, and has the world’s third highest yields (behind China and Egypt). New Zealand produces negligible rice and is a net importer. The main counties exporting to Australia and New Zealand are India, Thailand, Viet Nam and Pakistan. No GM rice is currently grown in either Australia or New Zealand.</w:t>
      </w:r>
    </w:p>
    <w:p w14:paraId="20643849" w14:textId="77777777" w:rsidR="00333AC0" w:rsidRDefault="00333AC0" w:rsidP="00011A05">
      <w:pPr>
        <w:widowControl/>
        <w:rPr>
          <w:rFonts w:cs="Arial"/>
          <w:color w:val="000000" w:themeColor="text1"/>
          <w:szCs w:val="22"/>
        </w:rPr>
      </w:pPr>
      <w:r>
        <w:rPr>
          <w:rFonts w:cs="Arial"/>
          <w:color w:val="000000" w:themeColor="text1"/>
          <w:szCs w:val="22"/>
        </w:rPr>
        <w:br w:type="page"/>
      </w:r>
    </w:p>
    <w:p w14:paraId="2064384A" w14:textId="77777777" w:rsidR="00333AC0" w:rsidRDefault="00333AC0" w:rsidP="00011A05">
      <w:pPr>
        <w:keepNext/>
        <w:widowControl/>
        <w:autoSpaceDE w:val="0"/>
        <w:autoSpaceDN w:val="0"/>
        <w:adjustRightInd w:val="0"/>
        <w:jc w:val="center"/>
      </w:pPr>
      <w:r>
        <w:rPr>
          <w:rFonts w:cs="Arial"/>
          <w:noProof/>
          <w:color w:val="000000" w:themeColor="text1"/>
          <w:szCs w:val="22"/>
          <w:lang w:eastAsia="en-GB" w:bidi="ar-SA"/>
        </w:rPr>
        <w:drawing>
          <wp:inline distT="0" distB="0" distL="0" distR="0" wp14:anchorId="20643F18" wp14:editId="61F9BD30">
            <wp:extent cx="3625629" cy="4114800"/>
            <wp:effectExtent l="0" t="0" r="0" b="0"/>
            <wp:docPr id="6" name="Picture 6" descr="Paddy rice comprises the hull, bran, endosperm and embryo.&#10;Brown rice comprises the bran, endosperm and embryo.&#10;White rice comprises the endosperm" title="Figure 1: Stylised representation of a longitudinal section through a rice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6397" cy="4115672"/>
                    </a:xfrm>
                    <a:prstGeom prst="rect">
                      <a:avLst/>
                    </a:prstGeom>
                    <a:noFill/>
                    <a:ln>
                      <a:noFill/>
                    </a:ln>
                  </pic:spPr>
                </pic:pic>
              </a:graphicData>
            </a:graphic>
          </wp:inline>
        </w:drawing>
      </w:r>
    </w:p>
    <w:p w14:paraId="2064384B" w14:textId="77777777" w:rsidR="00333AC0" w:rsidRDefault="00333AC0" w:rsidP="00011A05">
      <w:pPr>
        <w:pStyle w:val="FSFigureTitle"/>
        <w:rPr>
          <w:color w:val="000000" w:themeColor="text1"/>
          <w:szCs w:val="22"/>
        </w:rPr>
      </w:pPr>
      <w:r>
        <w:t xml:space="preserve">Figure </w:t>
      </w:r>
      <w:r>
        <w:fldChar w:fldCharType="begin"/>
      </w:r>
      <w:r>
        <w:instrText xml:space="preserve"> SEQ Figure \* ARABIC </w:instrText>
      </w:r>
      <w:r>
        <w:fldChar w:fldCharType="separate"/>
      </w:r>
      <w:r w:rsidR="00286242">
        <w:rPr>
          <w:noProof/>
        </w:rPr>
        <w:t>1</w:t>
      </w:r>
      <w:r>
        <w:rPr>
          <w:noProof/>
        </w:rPr>
        <w:fldChar w:fldCharType="end"/>
      </w:r>
      <w:r>
        <w:t>: Stylised representation of a longitudinal section through a rice grain</w:t>
      </w:r>
    </w:p>
    <w:p w14:paraId="2064384C" w14:textId="77777777" w:rsidR="00333AC0" w:rsidRPr="008E6EAC" w:rsidRDefault="00333AC0" w:rsidP="00011A05">
      <w:pPr>
        <w:widowControl/>
        <w:autoSpaceDE w:val="0"/>
        <w:autoSpaceDN w:val="0"/>
        <w:adjustRightInd w:val="0"/>
        <w:rPr>
          <w:rFonts w:cs="Arial"/>
          <w:color w:val="000000" w:themeColor="text1"/>
          <w:sz w:val="20"/>
          <w:szCs w:val="20"/>
        </w:rPr>
      </w:pPr>
      <w:r w:rsidRPr="00595001">
        <w:rPr>
          <w:rFonts w:cs="Arial"/>
          <w:color w:val="000000" w:themeColor="text1"/>
          <w:sz w:val="20"/>
          <w:szCs w:val="20"/>
        </w:rPr>
        <w:t>Adapted from World Book Online</w:t>
      </w:r>
      <w:r>
        <w:rPr>
          <w:rFonts w:cs="Arial"/>
          <w:color w:val="000000" w:themeColor="text1"/>
          <w:sz w:val="20"/>
          <w:szCs w:val="20"/>
        </w:rPr>
        <w:t>,</w:t>
      </w:r>
      <w:r w:rsidRPr="00595001">
        <w:rPr>
          <w:rFonts w:cs="Arial"/>
          <w:color w:val="000000" w:themeColor="text1"/>
          <w:sz w:val="20"/>
          <w:szCs w:val="20"/>
        </w:rPr>
        <w:t xml:space="preserve"> diagram by James Teason</w:t>
      </w:r>
      <w:r>
        <w:rPr>
          <w:rFonts w:cs="Arial"/>
          <w:color w:val="000000" w:themeColor="text1"/>
          <w:sz w:val="20"/>
          <w:szCs w:val="20"/>
        </w:rPr>
        <w:t xml:space="preserve"> - </w:t>
      </w:r>
      <w:hyperlink r:id="rId21" w:history="1">
        <w:r w:rsidRPr="008E6EAC">
          <w:rPr>
            <w:rStyle w:val="Hyperlink"/>
            <w:rFonts w:eastAsiaTheme="majorEastAsia" w:cs="Arial"/>
            <w:sz w:val="20"/>
            <w:szCs w:val="20"/>
            <w:lang w:val="en-AU"/>
          </w:rPr>
          <w:t>www.worldbookonline.com/student/media?id=lr000932</w:t>
        </w:r>
      </w:hyperlink>
      <w:r w:rsidRPr="008E6EAC">
        <w:rPr>
          <w:rFonts w:cs="Arial"/>
          <w:color w:val="000000" w:themeColor="text1"/>
          <w:sz w:val="20"/>
          <w:szCs w:val="20"/>
        </w:rPr>
        <w:t xml:space="preserve"> </w:t>
      </w:r>
    </w:p>
    <w:p w14:paraId="2064384D" w14:textId="77777777" w:rsidR="00333AC0" w:rsidRPr="008E6EAC" w:rsidRDefault="00333AC0" w:rsidP="00011A05">
      <w:pPr>
        <w:widowControl/>
        <w:autoSpaceDE w:val="0"/>
        <w:autoSpaceDN w:val="0"/>
        <w:adjustRightInd w:val="0"/>
        <w:rPr>
          <w:rFonts w:cs="Arial"/>
          <w:color w:val="000000" w:themeColor="text1"/>
          <w:sz w:val="20"/>
          <w:szCs w:val="20"/>
        </w:rPr>
      </w:pPr>
    </w:p>
    <w:p w14:paraId="2064384E" w14:textId="77777777" w:rsidR="00333AC0" w:rsidRPr="00AE4A27" w:rsidRDefault="00333AC0" w:rsidP="00011A05">
      <w:pPr>
        <w:widowControl/>
        <w:autoSpaceDE w:val="0"/>
        <w:autoSpaceDN w:val="0"/>
        <w:adjustRightInd w:val="0"/>
        <w:rPr>
          <w:rFonts w:cs="Arial"/>
          <w:color w:val="000000" w:themeColor="text1"/>
          <w:szCs w:val="22"/>
        </w:rPr>
      </w:pPr>
      <w:r>
        <w:rPr>
          <w:rFonts w:cs="Arial"/>
          <w:color w:val="000000" w:themeColor="text1"/>
          <w:szCs w:val="22"/>
        </w:rPr>
        <w:t xml:space="preserve">Most rice worldwide is consumed in the form of cooked head- or broken-rice. However, there are now a variety of </w:t>
      </w:r>
      <w:hyperlink r:id="rId22" w:history="1">
        <w:r w:rsidRPr="00934BEC">
          <w:rPr>
            <w:rStyle w:val="Hyperlink"/>
            <w:rFonts w:cs="Arial"/>
            <w:szCs w:val="22"/>
          </w:rPr>
          <w:t>rice-based value added products</w:t>
        </w:r>
      </w:hyperlink>
      <w:r>
        <w:rPr>
          <w:rStyle w:val="FootnoteReference"/>
          <w:rFonts w:cs="Arial"/>
          <w:color w:val="000000" w:themeColor="text1"/>
          <w:szCs w:val="22"/>
        </w:rPr>
        <w:footnoteReference w:id="3"/>
      </w:r>
      <w:r>
        <w:rPr>
          <w:rFonts w:cs="Arial"/>
          <w:color w:val="000000" w:themeColor="text1"/>
          <w:szCs w:val="22"/>
        </w:rPr>
        <w:t xml:space="preserve"> available, such as breakfast cereals (puffed rice), pasta, rice flakes, and rice crackers. Rice flour is used to make products such as rice noodles, egg-roll wrappers, edible rice paper and rice flour cakes/dumplings. Liquid-based rice products include rice bran oil that is used in cooking, rice-based alcoholic beverages produced after fermentation, rice vinegar, rice ‘milk’ and rice syrup. Rice starch is used as a thickening agent in food preparation. Rice by-products such as bran and straw are used in livestock feed.</w:t>
      </w:r>
    </w:p>
    <w:p w14:paraId="2064384F" w14:textId="77777777" w:rsidR="00333AC0" w:rsidRDefault="00333AC0" w:rsidP="00011A05">
      <w:pPr>
        <w:widowControl/>
        <w:autoSpaceDE w:val="0"/>
        <w:autoSpaceDN w:val="0"/>
        <w:adjustRightInd w:val="0"/>
        <w:rPr>
          <w:rFonts w:cs="Arial"/>
          <w:color w:val="000000" w:themeColor="text1"/>
          <w:szCs w:val="22"/>
        </w:rPr>
      </w:pPr>
    </w:p>
    <w:p w14:paraId="20643850" w14:textId="77777777" w:rsidR="00333AC0" w:rsidRPr="00612C5F" w:rsidRDefault="00333AC0" w:rsidP="00011A05">
      <w:pPr>
        <w:widowControl/>
        <w:autoSpaceDE w:val="0"/>
        <w:autoSpaceDN w:val="0"/>
        <w:adjustRightInd w:val="0"/>
        <w:rPr>
          <w:rFonts w:ascii="CharterBT-Roman" w:hAnsi="CharterBT-Roman" w:cs="CharterBT-Roman"/>
          <w:szCs w:val="22"/>
          <w:lang w:eastAsia="en-GB" w:bidi="ar-SA"/>
        </w:rPr>
      </w:pPr>
      <w:r w:rsidRPr="006935EB">
        <w:rPr>
          <w:rFonts w:cs="Arial"/>
          <w:color w:val="000000" w:themeColor="text1"/>
        </w:rPr>
        <w:t>Few food-in</w:t>
      </w:r>
      <w:r>
        <w:rPr>
          <w:rFonts w:cs="Arial"/>
          <w:color w:val="000000" w:themeColor="text1"/>
        </w:rPr>
        <w:t>duced allergic reactions to rice have been reported and rice is not</w:t>
      </w:r>
      <w:r w:rsidRPr="006935EB">
        <w:rPr>
          <w:rFonts w:cs="Arial"/>
          <w:color w:val="000000" w:themeColor="text1"/>
        </w:rPr>
        <w:t xml:space="preserve"> regarded as a commonly allergenic food</w:t>
      </w:r>
      <w:r>
        <w:rPr>
          <w:rFonts w:cs="Arial"/>
          <w:color w:val="000000" w:themeColor="text1"/>
        </w:rPr>
        <w:t>,</w:t>
      </w:r>
      <w:r w:rsidRPr="006935EB">
        <w:rPr>
          <w:rFonts w:cs="Arial"/>
          <w:color w:val="000000" w:themeColor="text1"/>
        </w:rPr>
        <w:t xml:space="preserve"> although there is an increasing number of allergy cases being reported in Japan</w:t>
      </w:r>
      <w:r>
        <w:rPr>
          <w:rFonts w:cs="Arial"/>
          <w:color w:val="000000" w:themeColor="text1"/>
        </w:rPr>
        <w:t xml:space="preserve">, where the frequency of IgE-mediated rice allergy is about 10% in atopic subjects </w:t>
      </w:r>
      <w:r>
        <w:rPr>
          <w:rFonts w:cs="Arial"/>
          <w:noProof/>
          <w:color w:val="000000" w:themeColor="text1"/>
        </w:rPr>
        <w:t>(Suvarna 2008)</w:t>
      </w:r>
      <w:r>
        <w:rPr>
          <w:rFonts w:cs="Arial"/>
          <w:color w:val="000000" w:themeColor="text1"/>
        </w:rPr>
        <w:t xml:space="preserve">, and Korea </w:t>
      </w:r>
      <w:r>
        <w:rPr>
          <w:rFonts w:cs="Arial"/>
          <w:noProof/>
          <w:color w:val="000000" w:themeColor="text1"/>
        </w:rPr>
        <w:t>(see e.g. Jeon et al. 2011)</w:t>
      </w:r>
      <w:r w:rsidRPr="006935EB">
        <w:rPr>
          <w:rFonts w:cs="Arial"/>
          <w:color w:val="000000" w:themeColor="text1"/>
        </w:rPr>
        <w:t>. A number of proteins have been identified as possible allergens, including 14-</w:t>
      </w:r>
      <w:r w:rsidRPr="00FB7680">
        <w:rPr>
          <w:rFonts w:cs="Arial"/>
          <w:color w:val="000000" w:themeColor="text1"/>
        </w:rPr>
        <w:t>16 kDa proteins</w:t>
      </w:r>
      <w:r w:rsidRPr="006935EB">
        <w:rPr>
          <w:rFonts w:cs="Arial"/>
          <w:color w:val="000000" w:themeColor="text1"/>
        </w:rPr>
        <w:t xml:space="preserve"> </w:t>
      </w:r>
      <w:r>
        <w:rPr>
          <w:rFonts w:cs="Arial"/>
          <w:noProof/>
          <w:color w:val="000000" w:themeColor="text1"/>
        </w:rPr>
        <w:t>(Izumi et al. 1999; Ito et al. 2005)</w:t>
      </w:r>
      <w:r>
        <w:rPr>
          <w:rFonts w:cs="Arial"/>
          <w:color w:val="000000" w:themeColor="text1"/>
        </w:rPr>
        <w:t xml:space="preserve"> listed as Oryza trypsin alpha-amylase inhibitors in the </w:t>
      </w:r>
      <w:hyperlink r:id="rId23" w:history="1">
        <w:r w:rsidRPr="00612C5F">
          <w:rPr>
            <w:rStyle w:val="Hyperlink"/>
            <w:rFonts w:ascii="CharterBT-Roman" w:hAnsi="CharterBT-Roman" w:cs="CharterBT-Roman"/>
            <w:szCs w:val="22"/>
            <w:lang w:eastAsia="en-GB" w:bidi="ar-SA"/>
          </w:rPr>
          <w:t>Food Allergy Research and Resource Program</w:t>
        </w:r>
      </w:hyperlink>
      <w:r>
        <w:rPr>
          <w:rStyle w:val="FootnoteReference"/>
          <w:rFonts w:ascii="CharterBT-Roman" w:hAnsi="CharterBT-Roman" w:cs="CharterBT-Roman"/>
          <w:szCs w:val="22"/>
          <w:lang w:eastAsia="en-GB" w:bidi="ar-SA"/>
        </w:rPr>
        <w:footnoteReference w:id="4"/>
      </w:r>
      <w:r>
        <w:rPr>
          <w:rFonts w:ascii="CharterBT-Roman" w:hAnsi="CharterBT-Roman" w:cs="CharterBT-Roman"/>
          <w:szCs w:val="22"/>
          <w:lang w:eastAsia="en-GB" w:bidi="ar-SA"/>
        </w:rPr>
        <w:t xml:space="preserve"> database</w:t>
      </w:r>
      <w:r w:rsidRPr="006935EB">
        <w:rPr>
          <w:rFonts w:cs="Arial"/>
          <w:color w:val="000000" w:themeColor="text1"/>
        </w:rPr>
        <w:t>, a 33</w:t>
      </w:r>
      <w:r>
        <w:rPr>
          <w:rFonts w:cs="Arial"/>
          <w:color w:val="000000" w:themeColor="text1"/>
        </w:rPr>
        <w:t xml:space="preserve"> </w:t>
      </w:r>
      <w:r w:rsidRPr="006935EB">
        <w:rPr>
          <w:rFonts w:cs="Arial"/>
          <w:color w:val="000000" w:themeColor="text1"/>
        </w:rPr>
        <w:t>kDa protein</w:t>
      </w:r>
      <w:r>
        <w:rPr>
          <w:rFonts w:cs="Arial"/>
          <w:color w:val="000000" w:themeColor="text1"/>
        </w:rPr>
        <w:t xml:space="preserve"> identified as a plant glyoxalase I</w:t>
      </w:r>
      <w:r w:rsidRPr="006935EB">
        <w:rPr>
          <w:rFonts w:cs="Arial"/>
          <w:color w:val="000000" w:themeColor="text1"/>
        </w:rPr>
        <w:t xml:space="preserve"> </w:t>
      </w:r>
      <w:r>
        <w:rPr>
          <w:rFonts w:cs="Arial"/>
          <w:noProof/>
          <w:color w:val="000000" w:themeColor="text1"/>
        </w:rPr>
        <w:t>(Usui et al. 2001)</w:t>
      </w:r>
      <w:r w:rsidRPr="006935EB">
        <w:rPr>
          <w:rFonts w:cs="Arial"/>
          <w:color w:val="000000" w:themeColor="text1"/>
        </w:rPr>
        <w:t xml:space="preserve"> and possibly others </w:t>
      </w:r>
      <w:r>
        <w:rPr>
          <w:rFonts w:cs="Arial"/>
          <w:noProof/>
          <w:color w:val="000000" w:themeColor="text1"/>
        </w:rPr>
        <w:t>(see references in Trcka et al. 2012)</w:t>
      </w:r>
      <w:r w:rsidRPr="006935EB">
        <w:rPr>
          <w:rFonts w:cs="Arial"/>
          <w:color w:val="000000" w:themeColor="text1"/>
        </w:rPr>
        <w:t xml:space="preserve">. More recently </w:t>
      </w:r>
      <w:r>
        <w:rPr>
          <w:rFonts w:cs="Arial"/>
          <w:noProof/>
          <w:color w:val="000000" w:themeColor="text1"/>
        </w:rPr>
        <w:t>(Jeon et al. 2011)</w:t>
      </w:r>
      <w:r w:rsidRPr="006935EB">
        <w:rPr>
          <w:rFonts w:cs="Arial"/>
          <w:color w:val="000000" w:themeColor="text1"/>
        </w:rPr>
        <w:t xml:space="preserve"> clinical symptoms were linked to 4, 13 and 31 kDa proteins.</w:t>
      </w:r>
      <w:r>
        <w:rPr>
          <w:rFonts w:cs="Arial"/>
          <w:color w:val="000000" w:themeColor="text1"/>
        </w:rPr>
        <w:t xml:space="preserve"> Raw rice is more allergenic than cooked.</w:t>
      </w:r>
    </w:p>
    <w:p w14:paraId="20643851" w14:textId="77777777" w:rsidR="00333AC0" w:rsidRDefault="00333AC0" w:rsidP="00011A05">
      <w:pPr>
        <w:widowControl/>
        <w:tabs>
          <w:tab w:val="left" w:pos="3345"/>
        </w:tabs>
        <w:autoSpaceDE w:val="0"/>
        <w:autoSpaceDN w:val="0"/>
        <w:adjustRightInd w:val="0"/>
        <w:rPr>
          <w:rFonts w:cs="Arial"/>
          <w:color w:val="000000" w:themeColor="text1"/>
          <w:szCs w:val="22"/>
        </w:rPr>
      </w:pPr>
    </w:p>
    <w:p w14:paraId="20643852" w14:textId="77777777" w:rsidR="00333AC0" w:rsidRPr="001379A4" w:rsidRDefault="00333AC0" w:rsidP="00011A05">
      <w:pPr>
        <w:widowControl/>
        <w:tabs>
          <w:tab w:val="left" w:pos="3345"/>
        </w:tabs>
        <w:autoSpaceDE w:val="0"/>
        <w:autoSpaceDN w:val="0"/>
        <w:adjustRightInd w:val="0"/>
        <w:rPr>
          <w:rFonts w:cs="Arial"/>
          <w:color w:val="000000" w:themeColor="text1"/>
          <w:szCs w:val="22"/>
        </w:rPr>
      </w:pPr>
      <w:r>
        <w:rPr>
          <w:rFonts w:cs="Arial"/>
          <w:color w:val="000000" w:themeColor="text1"/>
          <w:szCs w:val="22"/>
        </w:rPr>
        <w:t>R</w:t>
      </w:r>
      <w:r w:rsidRPr="001379A4">
        <w:rPr>
          <w:rFonts w:cs="Arial"/>
          <w:color w:val="000000" w:themeColor="text1"/>
          <w:szCs w:val="22"/>
        </w:rPr>
        <w:t xml:space="preserve">ice is also reported to be one of the several triggers in infants and young children of food protein-induced enterocolitis syndrome </w:t>
      </w:r>
      <w:r w:rsidRPr="00FB7680">
        <w:rPr>
          <w:rFonts w:cs="Arial"/>
          <w:color w:val="000000" w:themeColor="text1"/>
          <w:szCs w:val="22"/>
        </w:rPr>
        <w:t>(FPIES), an adverse</w:t>
      </w:r>
      <w:r w:rsidRPr="001379A4">
        <w:rPr>
          <w:rFonts w:cs="Arial"/>
          <w:color w:val="000000" w:themeColor="text1"/>
          <w:szCs w:val="22"/>
        </w:rPr>
        <w:t xml:space="preserve"> reaction involving the immune system but not IgE antibodies </w:t>
      </w:r>
      <w:r>
        <w:rPr>
          <w:rFonts w:cs="Arial"/>
          <w:noProof/>
          <w:color w:val="000000" w:themeColor="text1"/>
          <w:szCs w:val="22"/>
        </w:rPr>
        <w:t>(Mehr et al. 2009; ASCIA 2014)</w:t>
      </w:r>
      <w:r>
        <w:rPr>
          <w:rFonts w:cs="Arial"/>
          <w:color w:val="000000" w:themeColor="text1"/>
          <w:szCs w:val="22"/>
        </w:rPr>
        <w:t>.</w:t>
      </w:r>
    </w:p>
    <w:p w14:paraId="20643853" w14:textId="77777777" w:rsidR="00333AC0" w:rsidRPr="001379A4" w:rsidRDefault="00333AC0" w:rsidP="00011A05">
      <w:pPr>
        <w:pStyle w:val="Heading2"/>
        <w:rPr>
          <w:color w:val="000000" w:themeColor="text1"/>
        </w:rPr>
      </w:pPr>
      <w:bookmarkStart w:id="16" w:name="_Toc470008713"/>
      <w:r w:rsidRPr="001379A4">
        <w:rPr>
          <w:color w:val="000000" w:themeColor="text1"/>
        </w:rPr>
        <w:t>2.2</w:t>
      </w:r>
      <w:r w:rsidRPr="001379A4">
        <w:rPr>
          <w:color w:val="000000" w:themeColor="text1"/>
        </w:rPr>
        <w:tab/>
        <w:t>Donor organisms</w:t>
      </w:r>
      <w:bookmarkEnd w:id="16"/>
    </w:p>
    <w:p w14:paraId="20643854" w14:textId="77777777" w:rsidR="00333AC0" w:rsidRPr="001379A4" w:rsidRDefault="00333AC0" w:rsidP="00011A05">
      <w:pPr>
        <w:pStyle w:val="Heading3"/>
      </w:pPr>
      <w:r w:rsidRPr="001379A4">
        <w:t xml:space="preserve">2.2.1 </w:t>
      </w:r>
      <w:r w:rsidRPr="001379A4">
        <w:tab/>
      </w:r>
      <w:r w:rsidRPr="008E6EAC">
        <w:rPr>
          <w:i/>
        </w:rPr>
        <w:t>Zea mays</w:t>
      </w:r>
    </w:p>
    <w:p w14:paraId="20643855" w14:textId="77777777" w:rsidR="00333AC0" w:rsidRPr="001379A4" w:rsidRDefault="00333AC0" w:rsidP="00011A05">
      <w:pPr>
        <w:rPr>
          <w:rFonts w:cs="Arial"/>
          <w:color w:val="000000" w:themeColor="text1"/>
          <w:szCs w:val="22"/>
        </w:rPr>
      </w:pPr>
      <w:r w:rsidRPr="001379A4">
        <w:rPr>
          <w:rFonts w:cs="Arial"/>
          <w:color w:val="000000" w:themeColor="text1"/>
          <w:szCs w:val="22"/>
        </w:rPr>
        <w:t xml:space="preserve">Corn, </w:t>
      </w:r>
      <w:r w:rsidRPr="001379A4">
        <w:rPr>
          <w:rFonts w:cs="Arial"/>
          <w:i/>
          <w:color w:val="000000" w:themeColor="text1"/>
          <w:szCs w:val="22"/>
        </w:rPr>
        <w:t>Zea mays</w:t>
      </w:r>
      <w:r w:rsidRPr="001379A4">
        <w:rPr>
          <w:rFonts w:cs="Arial"/>
          <w:color w:val="000000" w:themeColor="text1"/>
          <w:szCs w:val="22"/>
        </w:rPr>
        <w:t xml:space="preserve">, is the source of the </w:t>
      </w:r>
      <w:r w:rsidRPr="001379A4">
        <w:rPr>
          <w:rFonts w:cs="Arial"/>
          <w:i/>
          <w:color w:val="000000" w:themeColor="text1"/>
          <w:szCs w:val="22"/>
        </w:rPr>
        <w:t>psy1</w:t>
      </w:r>
      <w:r>
        <w:rPr>
          <w:rFonts w:cs="Arial"/>
          <w:color w:val="000000" w:themeColor="text1"/>
          <w:szCs w:val="22"/>
        </w:rPr>
        <w:t xml:space="preserve"> gene and </w:t>
      </w:r>
      <w:r w:rsidRPr="00FB7680">
        <w:rPr>
          <w:rFonts w:cs="Arial"/>
          <w:color w:val="000000" w:themeColor="text1"/>
          <w:szCs w:val="22"/>
        </w:rPr>
        <w:t xml:space="preserve">the </w:t>
      </w:r>
      <w:r w:rsidRPr="00FB7680">
        <w:rPr>
          <w:rFonts w:cs="Arial"/>
          <w:i/>
          <w:color w:val="000000" w:themeColor="text1"/>
          <w:szCs w:val="22"/>
        </w:rPr>
        <w:t>UBI</w:t>
      </w:r>
      <w:r>
        <w:rPr>
          <w:rFonts w:cs="Arial"/>
          <w:color w:val="000000" w:themeColor="text1"/>
          <w:szCs w:val="22"/>
        </w:rPr>
        <w:t xml:space="preserve"> promoter</w:t>
      </w:r>
      <w:r w:rsidRPr="001379A4">
        <w:rPr>
          <w:rFonts w:cs="Arial"/>
          <w:color w:val="000000" w:themeColor="text1"/>
          <w:szCs w:val="22"/>
        </w:rPr>
        <w:t>.</w:t>
      </w:r>
      <w:r w:rsidRPr="001379A4">
        <w:rPr>
          <w:color w:val="000000" w:themeColor="text1"/>
        </w:rPr>
        <w:t xml:space="preserve"> In terms of production, corn is the world’s dominant cereal crop (1,038 MT</w:t>
      </w:r>
      <w:r>
        <w:rPr>
          <w:color w:val="000000" w:themeColor="text1"/>
        </w:rPr>
        <w:t xml:space="preserve"> in 2014</w:t>
      </w:r>
      <w:r w:rsidRPr="001379A4">
        <w:rPr>
          <w:color w:val="000000" w:themeColor="text1"/>
        </w:rPr>
        <w:t xml:space="preserve">) ahead of </w:t>
      </w:r>
      <w:r>
        <w:rPr>
          <w:color w:val="000000" w:themeColor="text1"/>
        </w:rPr>
        <w:t xml:space="preserve">rice (741 MT) and </w:t>
      </w:r>
      <w:r w:rsidRPr="001379A4">
        <w:rPr>
          <w:color w:val="000000" w:themeColor="text1"/>
        </w:rPr>
        <w:t xml:space="preserve">wheat </w:t>
      </w:r>
      <w:r>
        <w:rPr>
          <w:color w:val="000000" w:themeColor="text1"/>
        </w:rPr>
        <w:t>(729 MT) and is grown (to some extent in over 200</w:t>
      </w:r>
      <w:r w:rsidRPr="001379A4">
        <w:rPr>
          <w:color w:val="000000" w:themeColor="text1"/>
        </w:rPr>
        <w:t xml:space="preserve"> countries </w:t>
      </w:r>
      <w:r w:rsidRPr="003449F3">
        <w:rPr>
          <w:noProof/>
          <w:color w:val="000000" w:themeColor="text1"/>
        </w:rPr>
        <w:t>(FAOSTAT 2017)</w:t>
      </w:r>
      <w:r w:rsidRPr="001379A4">
        <w:rPr>
          <w:color w:val="000000" w:themeColor="text1"/>
        </w:rPr>
        <w:t xml:space="preserve"> </w:t>
      </w:r>
      <w:r w:rsidRPr="001379A4">
        <w:rPr>
          <w:rFonts w:cs="Arial"/>
          <w:color w:val="000000" w:themeColor="text1"/>
          <w:szCs w:val="22"/>
        </w:rPr>
        <w:t xml:space="preserve">and across a wide range of geographical conditions </w:t>
      </w:r>
      <w:r>
        <w:rPr>
          <w:rFonts w:cs="Arial"/>
          <w:noProof/>
          <w:color w:val="000000" w:themeColor="text1"/>
          <w:szCs w:val="22"/>
        </w:rPr>
        <w:t>(OGTR 2008)</w:t>
      </w:r>
      <w:r w:rsidRPr="001379A4">
        <w:rPr>
          <w:rFonts w:cs="Arial"/>
          <w:color w:val="000000" w:themeColor="text1"/>
          <w:szCs w:val="22"/>
        </w:rPr>
        <w:t xml:space="preserve">. Also known as maize, corn has been grown </w:t>
      </w:r>
      <w:r>
        <w:rPr>
          <w:rFonts w:cs="Arial"/>
          <w:color w:val="000000" w:themeColor="text1"/>
          <w:szCs w:val="22"/>
        </w:rPr>
        <w:t xml:space="preserve">and consumed </w:t>
      </w:r>
      <w:r w:rsidRPr="001379A4">
        <w:rPr>
          <w:rFonts w:cs="Arial"/>
          <w:color w:val="000000" w:themeColor="text1"/>
          <w:szCs w:val="22"/>
        </w:rPr>
        <w:t xml:space="preserve">in Mexico and Central America for some 8000 years and in Europe for 500 years and can thus be said to have a long history of safe use as a human food. The majority of corn that is grown however is destined for use as animal feed. </w:t>
      </w:r>
    </w:p>
    <w:p w14:paraId="20643856" w14:textId="77777777" w:rsidR="00333AC0" w:rsidRPr="00636FCE" w:rsidRDefault="00333AC0" w:rsidP="00011A05">
      <w:pPr>
        <w:pStyle w:val="Heading3"/>
      </w:pPr>
      <w:r w:rsidRPr="00636FCE">
        <w:t xml:space="preserve">2.2.2 </w:t>
      </w:r>
      <w:r w:rsidRPr="00636FCE">
        <w:tab/>
      </w:r>
      <w:r w:rsidRPr="008E6EAC">
        <w:rPr>
          <w:i/>
        </w:rPr>
        <w:t>Pantoea ananatis</w:t>
      </w:r>
    </w:p>
    <w:p w14:paraId="20643857" w14:textId="182311B4" w:rsidR="00333AC0" w:rsidRPr="00636FCE" w:rsidRDefault="00333AC0" w:rsidP="00011A05">
      <w:pPr>
        <w:rPr>
          <w:color w:val="000000" w:themeColor="text1"/>
        </w:rPr>
      </w:pPr>
      <w:r w:rsidRPr="00636FCE">
        <w:rPr>
          <w:color w:val="000000" w:themeColor="text1"/>
        </w:rPr>
        <w:t xml:space="preserve">This bacterium, formerly </w:t>
      </w:r>
      <w:r w:rsidRPr="001A7C2A">
        <w:rPr>
          <w:i/>
          <w:color w:val="000000" w:themeColor="text1"/>
        </w:rPr>
        <w:t>Erwinia uredovora</w:t>
      </w:r>
      <w:r>
        <w:rPr>
          <w:i/>
          <w:color w:val="000000" w:themeColor="text1"/>
        </w:rPr>
        <w:t xml:space="preserve"> </w:t>
      </w:r>
      <w:r w:rsidRPr="00E420C0">
        <w:rPr>
          <w:noProof/>
          <w:color w:val="000000" w:themeColor="text1"/>
        </w:rPr>
        <w:t>(Mergaert et al. 1993)</w:t>
      </w:r>
      <w:r w:rsidRPr="00E420C0">
        <w:rPr>
          <w:color w:val="000000" w:themeColor="text1"/>
        </w:rPr>
        <w:t>,</w:t>
      </w:r>
      <w:r w:rsidRPr="00636FCE">
        <w:rPr>
          <w:color w:val="000000" w:themeColor="text1"/>
        </w:rPr>
        <w:t xml:space="preserve"> is the source of the </w:t>
      </w:r>
      <w:r w:rsidRPr="00636FCE">
        <w:rPr>
          <w:i/>
          <w:color w:val="000000" w:themeColor="text1"/>
        </w:rPr>
        <w:t>crtI</w:t>
      </w:r>
      <w:r w:rsidRPr="00636FCE">
        <w:rPr>
          <w:color w:val="000000" w:themeColor="text1"/>
        </w:rPr>
        <w:t xml:space="preserve"> gene. </w:t>
      </w:r>
      <w:r>
        <w:rPr>
          <w:color w:val="000000" w:themeColor="text1"/>
        </w:rPr>
        <w:t xml:space="preserve">It is a pathogen of a wide range of agricultural food crops (e.g. pineapple, corn, onion, honeydew melon, rice and banana) and forest tree species </w:t>
      </w:r>
      <w:r>
        <w:rPr>
          <w:noProof/>
          <w:color w:val="000000" w:themeColor="text1"/>
        </w:rPr>
        <w:t>(Coutinho and Venter 2009)</w:t>
      </w:r>
      <w:r>
        <w:rPr>
          <w:color w:val="000000" w:themeColor="text1"/>
        </w:rPr>
        <w:t xml:space="preserve">. While it associates with plants as an epiphyte, endophyte, pathogen or symbiont, it can also occupy other ecological niches and has been found, for example, in rivers, soil samples and aviation fuel tanks </w:t>
      </w:r>
      <w:r>
        <w:rPr>
          <w:noProof/>
          <w:color w:val="000000" w:themeColor="text1"/>
        </w:rPr>
        <w:t>(see references in Coutinho and Venter 2009)</w:t>
      </w:r>
      <w:r>
        <w:rPr>
          <w:color w:val="000000" w:themeColor="text1"/>
        </w:rPr>
        <w:t xml:space="preserve"> and even in </w:t>
      </w:r>
      <w:r w:rsidRPr="008A794D">
        <w:rPr>
          <w:color w:val="000000" w:themeColor="text1"/>
        </w:rPr>
        <w:t xml:space="preserve">refrigerated beef </w:t>
      </w:r>
      <w:r w:rsidRPr="008A794D">
        <w:rPr>
          <w:noProof/>
          <w:color w:val="000000" w:themeColor="text1"/>
        </w:rPr>
        <w:t>(Ercolini et al. 2006)</w:t>
      </w:r>
      <w:r w:rsidRPr="008A794D">
        <w:rPr>
          <w:color w:val="000000" w:themeColor="text1"/>
        </w:rPr>
        <w:t>;</w:t>
      </w:r>
      <w:r>
        <w:rPr>
          <w:color w:val="000000" w:themeColor="text1"/>
        </w:rPr>
        <w:t xml:space="preserve"> limited reports of colonisation in humans have been made </w:t>
      </w:r>
      <w:r>
        <w:rPr>
          <w:noProof/>
          <w:color w:val="000000" w:themeColor="text1"/>
        </w:rPr>
        <w:t>(e.g. De Baere et al. 2004)</w:t>
      </w:r>
      <w:r>
        <w:rPr>
          <w:color w:val="000000" w:themeColor="text1"/>
        </w:rPr>
        <w:t xml:space="preserve">. It is also considered to be a potentially useful bio-control agent for some plant pathogens - such as fungi </w:t>
      </w:r>
      <w:r>
        <w:rPr>
          <w:noProof/>
          <w:color w:val="000000" w:themeColor="text1"/>
        </w:rPr>
        <w:t>(Enya et al. 2007)</w:t>
      </w:r>
      <w:r>
        <w:rPr>
          <w:color w:val="000000" w:themeColor="text1"/>
        </w:rPr>
        <w:t xml:space="preserve"> and other bacteria </w:t>
      </w:r>
      <w:r>
        <w:rPr>
          <w:noProof/>
          <w:color w:val="000000" w:themeColor="text1"/>
        </w:rPr>
        <w:t>(cited in Wu et al. 2016)</w:t>
      </w:r>
      <w:r>
        <w:rPr>
          <w:color w:val="000000" w:themeColor="text1"/>
        </w:rPr>
        <w:t xml:space="preserve"> – and insect pests </w:t>
      </w:r>
      <w:r>
        <w:rPr>
          <w:noProof/>
          <w:color w:val="000000" w:themeColor="text1"/>
        </w:rPr>
        <w:t>(Watanabe and Sato 1999)</w:t>
      </w:r>
      <w:r>
        <w:rPr>
          <w:color w:val="000000" w:themeColor="text1"/>
        </w:rPr>
        <w:t xml:space="preserve">. The genome has been sequenced </w:t>
      </w:r>
      <w:r>
        <w:rPr>
          <w:noProof/>
          <w:color w:val="000000" w:themeColor="text1"/>
        </w:rPr>
        <w:t>(Wu et al. 2016)</w:t>
      </w:r>
      <w:r w:rsidR="00BE34F4">
        <w:rPr>
          <w:color w:val="000000" w:themeColor="text1"/>
        </w:rPr>
        <w:t xml:space="preserve">. </w:t>
      </w:r>
      <w:r>
        <w:rPr>
          <w:color w:val="000000" w:themeColor="text1"/>
        </w:rPr>
        <w:t>It is the nature of the pan-genome</w:t>
      </w:r>
      <w:r>
        <w:rPr>
          <w:rStyle w:val="FootnoteReference"/>
          <w:color w:val="000000" w:themeColor="text1"/>
        </w:rPr>
        <w:footnoteReference w:id="5"/>
      </w:r>
      <w:r>
        <w:rPr>
          <w:color w:val="000000" w:themeColor="text1"/>
        </w:rPr>
        <w:t xml:space="preserve"> of </w:t>
      </w:r>
      <w:r w:rsidRPr="002B711A">
        <w:rPr>
          <w:i/>
          <w:color w:val="000000" w:themeColor="text1"/>
        </w:rPr>
        <w:t>P. ananatis</w:t>
      </w:r>
      <w:r>
        <w:rPr>
          <w:color w:val="000000" w:themeColor="text1"/>
        </w:rPr>
        <w:t xml:space="preserve"> that confers such wide adaptability </w:t>
      </w:r>
      <w:r>
        <w:rPr>
          <w:noProof/>
          <w:color w:val="000000" w:themeColor="text1"/>
        </w:rPr>
        <w:t>(DE Maayer et al. 2014)</w:t>
      </w:r>
      <w:r>
        <w:rPr>
          <w:color w:val="000000" w:themeColor="text1"/>
        </w:rPr>
        <w:t>.</w:t>
      </w:r>
    </w:p>
    <w:p w14:paraId="20643858" w14:textId="77777777" w:rsidR="00333AC0" w:rsidRDefault="00333AC0" w:rsidP="00011A05">
      <w:pPr>
        <w:pStyle w:val="Heading3"/>
      </w:pPr>
      <w:r>
        <w:t>2.2.3</w:t>
      </w:r>
      <w:r>
        <w:tab/>
      </w:r>
      <w:r w:rsidRPr="008E6EAC">
        <w:rPr>
          <w:i/>
        </w:rPr>
        <w:t>Escherichia coli</w:t>
      </w:r>
    </w:p>
    <w:p w14:paraId="20643859" w14:textId="77777777" w:rsidR="00333AC0" w:rsidRPr="000572C2" w:rsidRDefault="00333AC0" w:rsidP="00011A05">
      <w:pPr>
        <w:autoSpaceDE w:val="0"/>
        <w:autoSpaceDN w:val="0"/>
        <w:adjustRightInd w:val="0"/>
        <w:rPr>
          <w:rFonts w:cs="Arial"/>
          <w:iCs/>
          <w:szCs w:val="22"/>
        </w:rPr>
      </w:pPr>
      <w:r w:rsidRPr="000572C2">
        <w:rPr>
          <w:rFonts w:cs="Arial"/>
          <w:iCs/>
          <w:szCs w:val="22"/>
        </w:rPr>
        <w:t xml:space="preserve">The bacterium </w:t>
      </w:r>
      <w:r w:rsidRPr="000572C2">
        <w:rPr>
          <w:rFonts w:cs="Arial"/>
          <w:i/>
          <w:iCs/>
          <w:szCs w:val="22"/>
        </w:rPr>
        <w:t>Escherichia coli</w:t>
      </w:r>
      <w:r w:rsidRPr="000572C2">
        <w:rPr>
          <w:rFonts w:cs="Arial"/>
          <w:iCs/>
          <w:szCs w:val="22"/>
        </w:rPr>
        <w:t xml:space="preserve"> is the source of the</w:t>
      </w:r>
      <w:r>
        <w:rPr>
          <w:rFonts w:cs="Arial"/>
          <w:iCs/>
          <w:szCs w:val="22"/>
        </w:rPr>
        <w:t xml:space="preserve"> selectable marker gene, </w:t>
      </w:r>
      <w:r w:rsidRPr="006132DC">
        <w:rPr>
          <w:rFonts w:cs="Arial"/>
          <w:i/>
          <w:iCs/>
          <w:szCs w:val="22"/>
        </w:rPr>
        <w:t>pmi</w:t>
      </w:r>
      <w:r>
        <w:rPr>
          <w:rFonts w:cs="Arial"/>
          <w:i/>
          <w:iCs/>
          <w:szCs w:val="22"/>
        </w:rPr>
        <w:t xml:space="preserve">. </w:t>
      </w:r>
      <w:r w:rsidRPr="000572C2">
        <w:rPr>
          <w:rFonts w:cs="Arial"/>
          <w:i/>
          <w:iCs/>
          <w:szCs w:val="22"/>
        </w:rPr>
        <w:t>E. coli</w:t>
      </w:r>
      <w:r w:rsidRPr="000572C2">
        <w:rPr>
          <w:rFonts w:cs="Arial"/>
          <w:iCs/>
          <w:szCs w:val="22"/>
        </w:rPr>
        <w:t xml:space="preserve"> belongs to the Enterobacteriaceae, a relatively homogeneous group of rod-shaped, Gram-negative, facultative aerobic bac</w:t>
      </w:r>
      <w:r>
        <w:rPr>
          <w:rFonts w:cs="Arial"/>
          <w:iCs/>
          <w:szCs w:val="22"/>
        </w:rPr>
        <w:t xml:space="preserve">teria. </w:t>
      </w:r>
      <w:r w:rsidRPr="000572C2">
        <w:rPr>
          <w:rFonts w:cs="Arial"/>
          <w:iCs/>
          <w:szCs w:val="22"/>
        </w:rPr>
        <w:t xml:space="preserve">Members of the genus </w:t>
      </w:r>
      <w:r w:rsidRPr="000572C2">
        <w:rPr>
          <w:rFonts w:cs="Arial"/>
          <w:i/>
          <w:iCs/>
          <w:szCs w:val="22"/>
        </w:rPr>
        <w:t>Escherichia</w:t>
      </w:r>
      <w:r w:rsidRPr="000572C2">
        <w:rPr>
          <w:rFonts w:cs="Arial"/>
          <w:iCs/>
          <w:szCs w:val="22"/>
        </w:rPr>
        <w:t xml:space="preserve"> are ubiquitous in the environment and are normally found in the digestive tracts of vertebrates, including humans</w:t>
      </w:r>
      <w:r>
        <w:rPr>
          <w:rFonts w:cs="Arial"/>
          <w:iCs/>
          <w:szCs w:val="22"/>
        </w:rPr>
        <w:t xml:space="preserve"> where they are the most abundant facultative </w:t>
      </w:r>
      <w:r w:rsidRPr="00A9360B">
        <w:rPr>
          <w:rFonts w:cs="Arial"/>
          <w:iCs/>
          <w:szCs w:val="22"/>
        </w:rPr>
        <w:t xml:space="preserve">aerobe </w:t>
      </w:r>
      <w:r>
        <w:rPr>
          <w:rFonts w:cs="Arial"/>
          <w:iCs/>
          <w:noProof/>
          <w:szCs w:val="22"/>
        </w:rPr>
        <w:t>(Donnenberg 2002)</w:t>
      </w:r>
      <w:r w:rsidRPr="00A9360B">
        <w:rPr>
          <w:rFonts w:cs="Arial"/>
          <w:iCs/>
          <w:szCs w:val="22"/>
        </w:rPr>
        <w:t>.</w:t>
      </w:r>
      <w:r>
        <w:rPr>
          <w:rFonts w:cs="Arial"/>
          <w:iCs/>
          <w:szCs w:val="22"/>
        </w:rPr>
        <w:t xml:space="preserve"> </w:t>
      </w:r>
      <w:r w:rsidRPr="000572C2">
        <w:rPr>
          <w:rFonts w:cs="Arial"/>
          <w:iCs/>
          <w:szCs w:val="22"/>
        </w:rPr>
        <w:t xml:space="preserve">The vast majority of </w:t>
      </w:r>
      <w:r w:rsidRPr="000572C2">
        <w:rPr>
          <w:rFonts w:cs="Arial"/>
          <w:i/>
          <w:iCs/>
          <w:szCs w:val="22"/>
        </w:rPr>
        <w:t>E. coli</w:t>
      </w:r>
      <w:r w:rsidRPr="000572C2">
        <w:rPr>
          <w:rFonts w:cs="Arial"/>
          <w:iCs/>
          <w:szCs w:val="22"/>
        </w:rPr>
        <w:t xml:space="preserve"> strains are harmless to humans, although some strains </w:t>
      </w:r>
      <w:r>
        <w:rPr>
          <w:rFonts w:cs="Arial"/>
          <w:iCs/>
          <w:szCs w:val="22"/>
        </w:rPr>
        <w:t xml:space="preserve">can </w:t>
      </w:r>
      <w:r w:rsidRPr="000572C2">
        <w:rPr>
          <w:rFonts w:cs="Arial"/>
          <w:iCs/>
          <w:szCs w:val="22"/>
        </w:rPr>
        <w:t xml:space="preserve">cause diarrhoea </w:t>
      </w:r>
      <w:r>
        <w:rPr>
          <w:rFonts w:cs="Arial"/>
          <w:iCs/>
          <w:szCs w:val="22"/>
        </w:rPr>
        <w:t>and occasionally urinary tract infections.</w:t>
      </w:r>
    </w:p>
    <w:p w14:paraId="2064385A" w14:textId="77777777" w:rsidR="00333AC0" w:rsidRPr="000572C2" w:rsidRDefault="00333AC0" w:rsidP="00011A05">
      <w:pPr>
        <w:autoSpaceDE w:val="0"/>
        <w:autoSpaceDN w:val="0"/>
        <w:adjustRightInd w:val="0"/>
        <w:rPr>
          <w:rFonts w:cs="Arial"/>
          <w:iCs/>
          <w:szCs w:val="22"/>
        </w:rPr>
      </w:pPr>
    </w:p>
    <w:p w14:paraId="2064385B" w14:textId="77777777" w:rsidR="00333AC0" w:rsidRPr="000572C2" w:rsidRDefault="00333AC0" w:rsidP="00011A05">
      <w:pPr>
        <w:autoSpaceDE w:val="0"/>
        <w:autoSpaceDN w:val="0"/>
        <w:adjustRightInd w:val="0"/>
        <w:rPr>
          <w:rFonts w:cs="Arial"/>
          <w:iCs/>
          <w:szCs w:val="22"/>
        </w:rPr>
      </w:pPr>
      <w:r>
        <w:rPr>
          <w:rFonts w:cs="Arial"/>
          <w:iCs/>
          <w:szCs w:val="22"/>
        </w:rPr>
        <w:t xml:space="preserve">Some strains of </w:t>
      </w:r>
      <w:r w:rsidRPr="007F575A">
        <w:rPr>
          <w:rFonts w:cs="Arial"/>
          <w:i/>
          <w:iCs/>
          <w:szCs w:val="22"/>
        </w:rPr>
        <w:t>E. coli</w:t>
      </w:r>
      <w:r>
        <w:rPr>
          <w:rFonts w:cs="Arial"/>
          <w:iCs/>
          <w:szCs w:val="22"/>
        </w:rPr>
        <w:t xml:space="preserve">, such as the </w:t>
      </w:r>
      <w:r w:rsidRPr="000572C2">
        <w:rPr>
          <w:rFonts w:cs="Arial"/>
          <w:iCs/>
          <w:szCs w:val="22"/>
        </w:rPr>
        <w:t xml:space="preserve">enterohaemorrhagic </w:t>
      </w:r>
      <w:r w:rsidRPr="000572C2">
        <w:rPr>
          <w:rFonts w:cs="Arial"/>
          <w:i/>
          <w:iCs/>
          <w:szCs w:val="22"/>
        </w:rPr>
        <w:t>E.</w:t>
      </w:r>
      <w:r>
        <w:rPr>
          <w:rFonts w:cs="Arial"/>
          <w:i/>
          <w:iCs/>
          <w:szCs w:val="22"/>
        </w:rPr>
        <w:t> </w:t>
      </w:r>
      <w:r w:rsidRPr="000572C2">
        <w:rPr>
          <w:rFonts w:cs="Arial"/>
          <w:i/>
          <w:iCs/>
          <w:szCs w:val="22"/>
        </w:rPr>
        <w:t>coli</w:t>
      </w:r>
      <w:r w:rsidRPr="000572C2">
        <w:rPr>
          <w:rFonts w:cs="Arial"/>
          <w:iCs/>
          <w:szCs w:val="22"/>
        </w:rPr>
        <w:t xml:space="preserve"> group</w:t>
      </w:r>
      <w:r>
        <w:rPr>
          <w:rFonts w:cs="Arial"/>
          <w:iCs/>
          <w:szCs w:val="22"/>
        </w:rPr>
        <w:t xml:space="preserve"> (e.g. </w:t>
      </w:r>
      <w:r w:rsidRPr="000572C2">
        <w:rPr>
          <w:rFonts w:cs="Arial"/>
          <w:iCs/>
          <w:szCs w:val="22"/>
        </w:rPr>
        <w:t>0157:H7</w:t>
      </w:r>
      <w:r>
        <w:rPr>
          <w:rFonts w:cs="Arial"/>
          <w:iCs/>
          <w:szCs w:val="22"/>
        </w:rPr>
        <w:t xml:space="preserve">), are </w:t>
      </w:r>
      <w:r w:rsidRPr="000572C2">
        <w:rPr>
          <w:rFonts w:cs="Arial"/>
          <w:iCs/>
          <w:szCs w:val="22"/>
        </w:rPr>
        <w:t>particularly virulent</w:t>
      </w:r>
      <w:r>
        <w:rPr>
          <w:rFonts w:cs="Arial"/>
          <w:iCs/>
          <w:szCs w:val="22"/>
        </w:rPr>
        <w:t xml:space="preserve"> pathogenic </w:t>
      </w:r>
      <w:r w:rsidRPr="000572C2">
        <w:rPr>
          <w:rFonts w:cs="Arial"/>
          <w:iCs/>
          <w:szCs w:val="22"/>
        </w:rPr>
        <w:t>strain</w:t>
      </w:r>
      <w:r>
        <w:rPr>
          <w:rFonts w:cs="Arial"/>
          <w:iCs/>
          <w:szCs w:val="22"/>
        </w:rPr>
        <w:t xml:space="preserve">s </w:t>
      </w:r>
      <w:r w:rsidRPr="000572C2">
        <w:rPr>
          <w:rFonts w:cs="Arial"/>
          <w:iCs/>
          <w:szCs w:val="22"/>
        </w:rPr>
        <w:t>responsible for causing serious</w:t>
      </w:r>
      <w:r>
        <w:rPr>
          <w:rFonts w:cs="Arial"/>
          <w:iCs/>
          <w:szCs w:val="22"/>
        </w:rPr>
        <w:t xml:space="preserve"> food-borne</w:t>
      </w:r>
      <w:r w:rsidRPr="000572C2">
        <w:rPr>
          <w:rFonts w:cs="Arial"/>
          <w:iCs/>
          <w:szCs w:val="22"/>
        </w:rPr>
        <w:t xml:space="preserve"> illness.  </w:t>
      </w:r>
      <w:r w:rsidRPr="000572C2">
        <w:rPr>
          <w:rFonts w:cs="Arial"/>
          <w:szCs w:val="22"/>
        </w:rPr>
        <w:t xml:space="preserve">This particular group of pathogenic </w:t>
      </w:r>
      <w:r w:rsidRPr="000572C2">
        <w:rPr>
          <w:rFonts w:cs="Arial"/>
          <w:i/>
          <w:szCs w:val="22"/>
        </w:rPr>
        <w:t>E. coli</w:t>
      </w:r>
      <w:r w:rsidRPr="000572C2">
        <w:rPr>
          <w:rFonts w:cs="Arial"/>
          <w:szCs w:val="22"/>
        </w:rPr>
        <w:t xml:space="preserve"> are distinct from the strains of </w:t>
      </w:r>
      <w:r w:rsidRPr="000B4684">
        <w:rPr>
          <w:rFonts w:cs="Arial"/>
          <w:i/>
          <w:szCs w:val="22"/>
        </w:rPr>
        <w:t>E. coli</w:t>
      </w:r>
      <w:r w:rsidRPr="000572C2">
        <w:rPr>
          <w:rFonts w:cs="Arial"/>
          <w:szCs w:val="22"/>
        </w:rPr>
        <w:t xml:space="preserve"> (the K-12 strains) that are used routinel</w:t>
      </w:r>
      <w:r>
        <w:rPr>
          <w:rFonts w:cs="Arial"/>
          <w:szCs w:val="22"/>
        </w:rPr>
        <w:t xml:space="preserve">y in laboratory manipulations; the </w:t>
      </w:r>
      <w:r w:rsidRPr="00A9360B">
        <w:rPr>
          <w:rFonts w:cs="Arial"/>
          <w:i/>
          <w:szCs w:val="22"/>
        </w:rPr>
        <w:t xml:space="preserve">E. coli </w:t>
      </w:r>
      <w:r>
        <w:rPr>
          <w:rFonts w:cs="Arial"/>
          <w:szCs w:val="22"/>
        </w:rPr>
        <w:t xml:space="preserve">used as a donor organism in this application is K-12. </w:t>
      </w:r>
      <w:r w:rsidRPr="000572C2">
        <w:rPr>
          <w:rFonts w:cs="Arial"/>
          <w:szCs w:val="22"/>
        </w:rPr>
        <w:t xml:space="preserve">The K-12 strains of </w:t>
      </w:r>
      <w:r w:rsidRPr="000572C2">
        <w:rPr>
          <w:rFonts w:cs="Arial"/>
          <w:i/>
          <w:szCs w:val="22"/>
        </w:rPr>
        <w:t>E. coli</w:t>
      </w:r>
      <w:r w:rsidRPr="000572C2">
        <w:rPr>
          <w:rFonts w:cs="Arial"/>
          <w:szCs w:val="22"/>
        </w:rPr>
        <w:t xml:space="preserve"> have a long history of safe use and are commonly used as protein production systems in many commercial</w:t>
      </w:r>
      <w:r>
        <w:rPr>
          <w:rFonts w:cs="Arial"/>
          <w:szCs w:val="22"/>
        </w:rPr>
        <w:t xml:space="preserve"> applications</w:t>
      </w:r>
      <w:r w:rsidRPr="000572C2">
        <w:rPr>
          <w:rFonts w:cs="Arial"/>
          <w:szCs w:val="22"/>
        </w:rPr>
        <w:t xml:space="preserve">, including </w:t>
      </w:r>
      <w:r>
        <w:rPr>
          <w:rFonts w:cs="Arial"/>
          <w:szCs w:val="22"/>
        </w:rPr>
        <w:t xml:space="preserve">for </w:t>
      </w:r>
      <w:r w:rsidRPr="000572C2">
        <w:rPr>
          <w:rFonts w:cs="Arial"/>
          <w:szCs w:val="22"/>
        </w:rPr>
        <w:t xml:space="preserve">pharmaceutical </w:t>
      </w:r>
      <w:r>
        <w:rPr>
          <w:rFonts w:cs="Arial"/>
          <w:szCs w:val="22"/>
        </w:rPr>
        <w:t xml:space="preserve">products </w:t>
      </w:r>
      <w:r>
        <w:rPr>
          <w:rFonts w:cs="Arial"/>
          <w:noProof/>
          <w:szCs w:val="22"/>
        </w:rPr>
        <w:t>(Baeshen et al. 2015)</w:t>
      </w:r>
      <w:r>
        <w:rPr>
          <w:rFonts w:cs="Arial"/>
          <w:szCs w:val="22"/>
        </w:rPr>
        <w:t xml:space="preserve"> </w:t>
      </w:r>
      <w:r w:rsidRPr="000572C2">
        <w:rPr>
          <w:rFonts w:cs="Arial"/>
          <w:szCs w:val="22"/>
        </w:rPr>
        <w:t>and food ingredient</w:t>
      </w:r>
      <w:r>
        <w:rPr>
          <w:rFonts w:cs="Arial"/>
          <w:szCs w:val="22"/>
        </w:rPr>
        <w:t xml:space="preserve">s </w:t>
      </w:r>
      <w:r>
        <w:t xml:space="preserve">(e.g. </w:t>
      </w:r>
      <w:r>
        <w:rPr>
          <w:rFonts w:cs="Arial"/>
          <w:szCs w:val="22"/>
        </w:rPr>
        <w:t xml:space="preserve">Schedule 18 of the Code permits the use of chymosin derived from </w:t>
      </w:r>
      <w:r w:rsidRPr="00D75C65">
        <w:rPr>
          <w:rFonts w:cs="Arial"/>
          <w:i/>
          <w:szCs w:val="22"/>
        </w:rPr>
        <w:t>E. coli</w:t>
      </w:r>
      <w:r>
        <w:rPr>
          <w:rFonts w:cs="Arial"/>
          <w:szCs w:val="22"/>
        </w:rPr>
        <w:t xml:space="preserve"> K-12 strain as a food processing aid).</w:t>
      </w:r>
    </w:p>
    <w:p w14:paraId="2064385C" w14:textId="77777777" w:rsidR="00333AC0" w:rsidRDefault="00333AC0" w:rsidP="00011A05">
      <w:pPr>
        <w:pStyle w:val="Heading3"/>
      </w:pPr>
      <w:r>
        <w:t>2.2.4</w:t>
      </w:r>
      <w:r>
        <w:tab/>
        <w:t>Other organisms</w:t>
      </w:r>
    </w:p>
    <w:p w14:paraId="2064385D" w14:textId="77777777" w:rsidR="00333AC0" w:rsidRPr="00ED7F54" w:rsidRDefault="00333AC0" w:rsidP="00011A05">
      <w:pPr>
        <w:rPr>
          <w:rFonts w:cs="Arial"/>
          <w:color w:val="000000" w:themeColor="text1"/>
          <w:szCs w:val="22"/>
        </w:rPr>
      </w:pPr>
      <w:r w:rsidRPr="0072003E">
        <w:rPr>
          <w:rFonts w:cs="Arial"/>
          <w:color w:val="000000" w:themeColor="text1"/>
          <w:szCs w:val="22"/>
        </w:rPr>
        <w:t>Genetic elem</w:t>
      </w:r>
      <w:r>
        <w:rPr>
          <w:rFonts w:cs="Arial"/>
          <w:color w:val="000000" w:themeColor="text1"/>
          <w:szCs w:val="22"/>
        </w:rPr>
        <w:t>ents from two</w:t>
      </w:r>
      <w:r w:rsidRPr="0072003E">
        <w:rPr>
          <w:rFonts w:cs="Arial"/>
          <w:color w:val="000000" w:themeColor="text1"/>
          <w:szCs w:val="22"/>
        </w:rPr>
        <w:t xml:space="preserve"> other organisms </w:t>
      </w:r>
      <w:r>
        <w:rPr>
          <w:rFonts w:cs="Arial"/>
          <w:color w:val="000000" w:themeColor="text1"/>
          <w:szCs w:val="22"/>
        </w:rPr>
        <w:t>not mentioned above (</w:t>
      </w:r>
      <w:r w:rsidRPr="00380C7F">
        <w:rPr>
          <w:rFonts w:cs="Arial"/>
          <w:i/>
          <w:color w:val="000000" w:themeColor="text1"/>
          <w:szCs w:val="22"/>
        </w:rPr>
        <w:t>Pisum sativum</w:t>
      </w:r>
      <w:r>
        <w:rPr>
          <w:rFonts w:cs="Arial"/>
          <w:color w:val="000000" w:themeColor="text1"/>
          <w:szCs w:val="22"/>
        </w:rPr>
        <w:t xml:space="preserve"> – pea; and </w:t>
      </w:r>
      <w:r w:rsidRPr="00380C7F">
        <w:rPr>
          <w:rFonts w:cs="Arial"/>
          <w:i/>
          <w:color w:val="000000" w:themeColor="text1"/>
          <w:szCs w:val="22"/>
        </w:rPr>
        <w:t>Agrobacterium tumefaciens</w:t>
      </w:r>
      <w:r>
        <w:rPr>
          <w:rFonts w:cs="Arial"/>
          <w:color w:val="000000" w:themeColor="text1"/>
          <w:szCs w:val="22"/>
        </w:rPr>
        <w:t xml:space="preserve">) </w:t>
      </w:r>
      <w:r w:rsidRPr="0072003E">
        <w:rPr>
          <w:rFonts w:cs="Arial"/>
          <w:color w:val="000000" w:themeColor="text1"/>
          <w:szCs w:val="22"/>
        </w:rPr>
        <w:t>have been used in the</w:t>
      </w:r>
      <w:r>
        <w:rPr>
          <w:rFonts w:cs="Arial"/>
          <w:color w:val="000000" w:themeColor="text1"/>
          <w:szCs w:val="22"/>
        </w:rPr>
        <w:t xml:space="preserve"> genetic modification of GR2E</w:t>
      </w:r>
      <w:r w:rsidRPr="0072003E">
        <w:rPr>
          <w:rFonts w:cs="Arial"/>
          <w:color w:val="000000" w:themeColor="text1"/>
          <w:szCs w:val="22"/>
        </w:rPr>
        <w:t xml:space="preserve"> (r</w:t>
      </w:r>
      <w:r>
        <w:rPr>
          <w:rFonts w:cs="Arial"/>
          <w:color w:val="000000" w:themeColor="text1"/>
          <w:szCs w:val="22"/>
        </w:rPr>
        <w:t xml:space="preserve">efer to </w:t>
      </w:r>
      <w:r w:rsidRPr="00B275D4">
        <w:rPr>
          <w:rFonts w:cs="Arial"/>
          <w:color w:val="000000" w:themeColor="text1"/>
          <w:szCs w:val="22"/>
        </w:rPr>
        <w:t>Table 1). These</w:t>
      </w:r>
      <w:r>
        <w:rPr>
          <w:rFonts w:cs="Arial"/>
          <w:color w:val="000000" w:themeColor="text1"/>
          <w:szCs w:val="22"/>
        </w:rPr>
        <w:t xml:space="preserve"> sequences are used to target, drive </w:t>
      </w:r>
      <w:r w:rsidRPr="0072003E">
        <w:rPr>
          <w:rFonts w:cs="Arial"/>
          <w:color w:val="000000" w:themeColor="text1"/>
          <w:szCs w:val="22"/>
        </w:rPr>
        <w:t>or terminate expression of the novel genetic material. None of the sources of these genetic elements is associated with toxic or allergenic responses in humans. The genetic elements d</w:t>
      </w:r>
      <w:r>
        <w:rPr>
          <w:rFonts w:cs="Arial"/>
          <w:color w:val="000000" w:themeColor="text1"/>
          <w:szCs w:val="22"/>
        </w:rPr>
        <w:t xml:space="preserve">erived from the plant pathogen </w:t>
      </w:r>
      <w:r>
        <w:rPr>
          <w:rFonts w:cs="Arial"/>
          <w:i/>
          <w:color w:val="000000" w:themeColor="text1"/>
          <w:szCs w:val="22"/>
        </w:rPr>
        <w:t>A.</w:t>
      </w:r>
      <w:r w:rsidRPr="0072003E">
        <w:rPr>
          <w:rFonts w:cs="Arial"/>
          <w:i/>
          <w:color w:val="000000" w:themeColor="text1"/>
          <w:szCs w:val="22"/>
        </w:rPr>
        <w:t xml:space="preserve"> tumefaciens</w:t>
      </w:r>
      <w:r w:rsidRPr="0072003E">
        <w:rPr>
          <w:rFonts w:cs="Arial"/>
          <w:color w:val="000000" w:themeColor="text1"/>
          <w:szCs w:val="22"/>
        </w:rPr>
        <w:t xml:space="preserve"> are not pathogenic in themselves and do not caus</w:t>
      </w:r>
      <w:r>
        <w:rPr>
          <w:rFonts w:cs="Arial"/>
          <w:color w:val="000000" w:themeColor="text1"/>
          <w:szCs w:val="22"/>
        </w:rPr>
        <w:t>e pathogenic symptoms in GR2E</w:t>
      </w:r>
      <w:r w:rsidRPr="0072003E">
        <w:rPr>
          <w:rFonts w:cs="Arial"/>
          <w:color w:val="000000" w:themeColor="text1"/>
          <w:szCs w:val="22"/>
        </w:rPr>
        <w:t>.</w:t>
      </w:r>
    </w:p>
    <w:p w14:paraId="2064385E" w14:textId="77777777" w:rsidR="00333AC0" w:rsidRPr="00380C7F" w:rsidRDefault="00333AC0" w:rsidP="00011A05">
      <w:pPr>
        <w:rPr>
          <w:lang w:eastAsia="en-AU" w:bidi="ar-SA"/>
        </w:rPr>
      </w:pPr>
    </w:p>
    <w:p w14:paraId="2064385F" w14:textId="77777777" w:rsidR="00333AC0" w:rsidRPr="00636FCE" w:rsidRDefault="00333AC0" w:rsidP="00011A05">
      <w:pPr>
        <w:pStyle w:val="Heading1"/>
        <w:ind w:left="720" w:hanging="720"/>
        <w:jc w:val="both"/>
        <w:rPr>
          <w:color w:val="000000" w:themeColor="text1"/>
          <w:szCs w:val="36"/>
        </w:rPr>
      </w:pPr>
      <w:bookmarkStart w:id="17" w:name="_Toc470008714"/>
      <w:r w:rsidRPr="00636FCE">
        <w:rPr>
          <w:color w:val="000000" w:themeColor="text1"/>
          <w:szCs w:val="36"/>
        </w:rPr>
        <w:t>3</w:t>
      </w:r>
      <w:r w:rsidRPr="00636FCE">
        <w:rPr>
          <w:color w:val="000000" w:themeColor="text1"/>
          <w:szCs w:val="36"/>
        </w:rPr>
        <w:tab/>
        <w:t>Molecular characterisation</w:t>
      </w:r>
      <w:bookmarkEnd w:id="17"/>
    </w:p>
    <w:p w14:paraId="20643860" w14:textId="77777777" w:rsidR="00333AC0" w:rsidRPr="00636FCE" w:rsidRDefault="00333AC0" w:rsidP="00011A05">
      <w:pPr>
        <w:rPr>
          <w:color w:val="000000" w:themeColor="text1"/>
        </w:rPr>
      </w:pPr>
      <w:r w:rsidRPr="00636FCE">
        <w:rPr>
          <w:color w:val="000000" w:themeColor="text1"/>
        </w:rPr>
        <w:t>Molecular characterisation is necessary to provide an understanding of the genetic material introduced into the host genome and helps to frame the subsequent parts of the safety assessment. The molecular characterisation addresses three main aspects:</w:t>
      </w:r>
    </w:p>
    <w:p w14:paraId="20643861" w14:textId="77777777" w:rsidR="00333AC0" w:rsidRPr="00636FCE" w:rsidRDefault="00333AC0" w:rsidP="00011A05">
      <w:pPr>
        <w:rPr>
          <w:color w:val="000000" w:themeColor="text1"/>
        </w:rPr>
      </w:pPr>
    </w:p>
    <w:p w14:paraId="20643862" w14:textId="77777777" w:rsidR="00333AC0" w:rsidRPr="00636FCE" w:rsidRDefault="00333AC0" w:rsidP="00011A05">
      <w:pPr>
        <w:pStyle w:val="FSBullet1"/>
        <w:rPr>
          <w:color w:val="000000" w:themeColor="text1"/>
        </w:rPr>
      </w:pPr>
      <w:r w:rsidRPr="00636FCE">
        <w:rPr>
          <w:color w:val="000000" w:themeColor="text1"/>
        </w:rPr>
        <w:t xml:space="preserve">the transformation method together with a detailed description of </w:t>
      </w:r>
      <w:r w:rsidRPr="00FB7680">
        <w:rPr>
          <w:color w:val="000000" w:themeColor="text1"/>
        </w:rPr>
        <w:t>the DNA sequences</w:t>
      </w:r>
      <w:r w:rsidRPr="00636FCE">
        <w:rPr>
          <w:color w:val="000000" w:themeColor="text1"/>
        </w:rPr>
        <w:t xml:space="preserve"> introduced to the host genome </w:t>
      </w:r>
    </w:p>
    <w:p w14:paraId="20643863" w14:textId="77777777" w:rsidR="00333AC0" w:rsidRPr="00636FCE" w:rsidRDefault="00333AC0" w:rsidP="00011A05">
      <w:pPr>
        <w:pStyle w:val="FSBullet1"/>
        <w:rPr>
          <w:color w:val="000000" w:themeColor="text1"/>
        </w:rPr>
      </w:pPr>
      <w:r w:rsidRPr="00636FCE">
        <w:rPr>
          <w:color w:val="000000" w:themeColor="text1"/>
        </w:rPr>
        <w:t>a characterisation of the inserted DNA including any rearrangements that may have occurred as a consequence of the transformation</w:t>
      </w:r>
    </w:p>
    <w:p w14:paraId="20643864" w14:textId="77777777" w:rsidR="00333AC0" w:rsidRPr="00636FCE" w:rsidRDefault="00333AC0" w:rsidP="00011A05">
      <w:pPr>
        <w:pStyle w:val="FSBullet1"/>
        <w:rPr>
          <w:color w:val="000000" w:themeColor="text1"/>
        </w:rPr>
      </w:pPr>
      <w:r w:rsidRPr="00636FCE">
        <w:rPr>
          <w:color w:val="000000" w:themeColor="text1"/>
        </w:rPr>
        <w:t>the genetic stability of the inserted DNA and any accompanying expressed traits.</w:t>
      </w:r>
    </w:p>
    <w:p w14:paraId="20643865" w14:textId="77777777" w:rsidR="00333AC0" w:rsidRPr="00636FCE" w:rsidRDefault="00333AC0" w:rsidP="00011A05">
      <w:pPr>
        <w:pStyle w:val="ListParagraph"/>
        <w:rPr>
          <w:color w:val="000000" w:themeColor="text1"/>
        </w:rPr>
      </w:pPr>
    </w:p>
    <w:p w14:paraId="20643866" w14:textId="77777777" w:rsidR="00333AC0" w:rsidRPr="00636FCE" w:rsidRDefault="00333AC0" w:rsidP="00011A05">
      <w:pPr>
        <w:rPr>
          <w:color w:val="000000" w:themeColor="text1"/>
        </w:rPr>
      </w:pPr>
    </w:p>
    <w:p w14:paraId="20643867" w14:textId="77777777" w:rsidR="00333AC0" w:rsidRPr="00636FCE" w:rsidRDefault="00333AC0" w:rsidP="00011A05">
      <w:pPr>
        <w:pBdr>
          <w:top w:val="single" w:sz="4" w:space="1" w:color="auto"/>
          <w:left w:val="single" w:sz="4" w:space="4" w:color="auto"/>
          <w:bottom w:val="single" w:sz="4" w:space="1" w:color="auto"/>
          <w:right w:val="single" w:sz="4" w:space="4" w:color="auto"/>
        </w:pBdr>
        <w:rPr>
          <w:b/>
          <w:color w:val="000000" w:themeColor="text1"/>
          <w:sz w:val="20"/>
          <w:szCs w:val="20"/>
        </w:rPr>
      </w:pPr>
      <w:r w:rsidRPr="00636FCE">
        <w:rPr>
          <w:b/>
          <w:color w:val="000000" w:themeColor="text1"/>
          <w:sz w:val="20"/>
          <w:szCs w:val="20"/>
        </w:rPr>
        <w:t>Studies submitted:</w:t>
      </w:r>
    </w:p>
    <w:p w14:paraId="20643868" w14:textId="77777777" w:rsidR="00333AC0" w:rsidRPr="00D01F5D" w:rsidRDefault="00333AC0" w:rsidP="00011A05">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20643869" w14:textId="77777777" w:rsidR="00333AC0" w:rsidRPr="00D01F5D"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D01F5D">
        <w:rPr>
          <w:rFonts w:cs="Arial"/>
          <w:sz w:val="20"/>
          <w:szCs w:val="20"/>
          <w:lang w:eastAsia="en-GB" w:bidi="ar-SA"/>
        </w:rPr>
        <w:t>. Southern hybridization characterization of event IR-ØØGR2E-5 rice. Technical report, IR2015-07003 (unpublished) International Rice Research Institute, Los Banos, Laguna, Philippines.</w:t>
      </w:r>
    </w:p>
    <w:p w14:paraId="2064386A" w14:textId="77777777" w:rsidR="00333AC0" w:rsidRPr="00D01F5D"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2015</w:t>
      </w:r>
      <w:r w:rsidRPr="00D01F5D">
        <w:rPr>
          <w:rFonts w:cs="Arial"/>
          <w:sz w:val="20"/>
          <w:szCs w:val="20"/>
          <w:lang w:eastAsia="en-GB" w:bidi="ar-SA"/>
        </w:rPr>
        <w:t>. Nucleotide sequence analysis of the inserted DNA and host genomic flanking regions in rice event IR-ØØGR2E-5. Technical report, IR2015-08001 (unpublished) International Rice Research Institute, Los Banos, Laguna, Philippines</w:t>
      </w:r>
    </w:p>
    <w:p w14:paraId="2064386B" w14:textId="77777777" w:rsidR="00333AC0" w:rsidRPr="00D01F5D"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D01F5D">
        <w:rPr>
          <w:rFonts w:cs="Arial"/>
          <w:sz w:val="20"/>
          <w:szCs w:val="20"/>
          <w:lang w:eastAsia="en-GB" w:bidi="ar-SA"/>
        </w:rPr>
        <w:t>. Stability of the elevated beta-carotene trait across multiple generations of rice event IR-ØØGR2E-5. Technical report, IR-2016-07001 (unpublished) International Rice Research Institute, Los Banos, Laguna, Philippines</w:t>
      </w:r>
    </w:p>
    <w:p w14:paraId="2064386C" w14:textId="77777777" w:rsidR="00333AC0" w:rsidRPr="00D01F5D"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2015</w:t>
      </w:r>
      <w:r w:rsidRPr="00D01F5D">
        <w:rPr>
          <w:rFonts w:cs="Arial"/>
          <w:sz w:val="20"/>
          <w:szCs w:val="20"/>
          <w:lang w:eastAsia="en-GB" w:bidi="ar-SA"/>
        </w:rPr>
        <w:t>. Segregation of the inserted DNA within multiple generations of rice event IR-ØØGR2E-5. Technical report, IR2015-08003 (unpublished) International Rice Research Institute, Los Banos, Laguna, Philippines</w:t>
      </w:r>
    </w:p>
    <w:p w14:paraId="2064386D" w14:textId="77777777" w:rsidR="00333AC0" w:rsidRPr="00C45488" w:rsidRDefault="00333AC0" w:rsidP="00011A05">
      <w:pPr>
        <w:pStyle w:val="Heading2"/>
        <w:rPr>
          <w:color w:val="000000" w:themeColor="text1"/>
        </w:rPr>
      </w:pPr>
      <w:bookmarkStart w:id="18" w:name="_Toc470008715"/>
      <w:r w:rsidRPr="00C45488">
        <w:rPr>
          <w:color w:val="000000" w:themeColor="text1"/>
        </w:rPr>
        <w:t xml:space="preserve">3.1 </w:t>
      </w:r>
      <w:r w:rsidRPr="00C45488">
        <w:rPr>
          <w:color w:val="000000" w:themeColor="text1"/>
        </w:rPr>
        <w:tab/>
        <w:t>Method used in the genetic modification</w:t>
      </w:r>
      <w:bookmarkEnd w:id="18"/>
    </w:p>
    <w:p w14:paraId="2064386E"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sidRPr="00C45488">
        <w:rPr>
          <w:color w:val="000000" w:themeColor="text1"/>
        </w:rPr>
        <w:t xml:space="preserve">The GR2E transformation procedure </w:t>
      </w:r>
      <w:r>
        <w:rPr>
          <w:noProof/>
          <w:color w:val="000000" w:themeColor="text1"/>
        </w:rPr>
        <w:t>(Paine et al. 2005)</w:t>
      </w:r>
      <w:r w:rsidRPr="00C45488">
        <w:rPr>
          <w:color w:val="000000" w:themeColor="text1"/>
        </w:rPr>
        <w:t xml:space="preserve"> was based on modifications </w:t>
      </w:r>
      <w:r>
        <w:rPr>
          <w:color w:val="000000" w:themeColor="text1"/>
        </w:rPr>
        <w:t>of two previous protocols</w:t>
      </w:r>
      <w:r w:rsidRPr="00C45488">
        <w:rPr>
          <w:color w:val="000000" w:themeColor="text1"/>
        </w:rPr>
        <w:t xml:space="preserve"> </w:t>
      </w:r>
      <w:r>
        <w:rPr>
          <w:noProof/>
          <w:color w:val="000000" w:themeColor="text1"/>
        </w:rPr>
        <w:t>(Hiei et al. 1994; Zhang et al. 1997)</w:t>
      </w:r>
      <w:r w:rsidRPr="00C45488">
        <w:rPr>
          <w:color w:val="000000" w:themeColor="text1"/>
        </w:rPr>
        <w:t xml:space="preserve">. </w:t>
      </w:r>
      <w:r w:rsidRPr="00C45488">
        <w:rPr>
          <w:rFonts w:ascii="CharterBT-Roman" w:hAnsi="CharterBT-Roman" w:cs="CharterBT-Roman"/>
          <w:color w:val="000000" w:themeColor="text1"/>
          <w:szCs w:val="22"/>
          <w:lang w:eastAsia="en-GB" w:bidi="ar-SA"/>
        </w:rPr>
        <w:t>Embryogenic cultures were established from mature embryos of cultivar Kaybonnet and e</w:t>
      </w:r>
      <w:r>
        <w:rPr>
          <w:rFonts w:ascii="CharterBT-Roman" w:hAnsi="CharterBT-Roman" w:cs="CharterBT-Roman"/>
          <w:color w:val="000000" w:themeColor="text1"/>
          <w:szCs w:val="22"/>
          <w:lang w:eastAsia="en-GB" w:bidi="ar-SA"/>
        </w:rPr>
        <w:t>mbryogenic calli were incubated</w:t>
      </w:r>
      <w:r w:rsidRPr="00C45488">
        <w:rPr>
          <w:rFonts w:ascii="CharterBT-Roman" w:hAnsi="CharterBT-Roman" w:cs="CharterBT-Roman"/>
          <w:color w:val="000000" w:themeColor="text1"/>
          <w:szCs w:val="22"/>
          <w:lang w:eastAsia="en-GB" w:bidi="ar-SA"/>
        </w:rPr>
        <w:t xml:space="preserve"> with </w:t>
      </w:r>
      <w:r>
        <w:rPr>
          <w:rFonts w:ascii="CharterBT-Roman" w:hAnsi="CharterBT-Roman" w:cs="CharterBT-Roman"/>
          <w:color w:val="000000" w:themeColor="text1"/>
          <w:szCs w:val="22"/>
          <w:lang w:eastAsia="en-GB" w:bidi="ar-SA"/>
        </w:rPr>
        <w:t xml:space="preserve">a disarmed strain of </w:t>
      </w:r>
      <w:r w:rsidRPr="00C45488">
        <w:rPr>
          <w:rFonts w:ascii="CharterBT-Italic" w:hAnsi="CharterBT-Italic" w:cs="CharterBT-Italic"/>
          <w:i/>
          <w:iCs/>
          <w:color w:val="000000" w:themeColor="text1"/>
          <w:szCs w:val="22"/>
          <w:lang w:eastAsia="en-GB" w:bidi="ar-SA"/>
        </w:rPr>
        <w:t>Agrobacterium</w:t>
      </w:r>
      <w:r w:rsidRPr="00C45488">
        <w:rPr>
          <w:rFonts w:ascii="CharterBT-Roman" w:hAnsi="CharterBT-Roman" w:cs="CharterBT-Roman"/>
          <w:color w:val="000000" w:themeColor="text1"/>
          <w:szCs w:val="22"/>
          <w:lang w:eastAsia="en-GB" w:bidi="ar-SA"/>
        </w:rPr>
        <w:t xml:space="preserve"> </w:t>
      </w:r>
      <w:r w:rsidRPr="00C45488">
        <w:rPr>
          <w:rFonts w:ascii="CharterBT-Italic" w:hAnsi="CharterBT-Italic" w:cs="CharterBT-Italic"/>
          <w:i/>
          <w:iCs/>
          <w:color w:val="000000" w:themeColor="text1"/>
          <w:szCs w:val="22"/>
          <w:lang w:eastAsia="en-GB" w:bidi="ar-SA"/>
        </w:rPr>
        <w:t xml:space="preserve">tumefaciens </w:t>
      </w:r>
      <w:r w:rsidRPr="00C45488">
        <w:rPr>
          <w:rFonts w:ascii="CharterBT-Roman" w:hAnsi="CharterBT-Roman" w:cs="CharterBT-Roman"/>
          <w:color w:val="000000" w:themeColor="text1"/>
          <w:szCs w:val="22"/>
          <w:lang w:eastAsia="en-GB" w:bidi="ar-SA"/>
        </w:rPr>
        <w:t>harbouring pl</w:t>
      </w:r>
      <w:r>
        <w:rPr>
          <w:rFonts w:ascii="CharterBT-Roman" w:hAnsi="CharterBT-Roman" w:cs="CharterBT-Roman"/>
          <w:color w:val="000000" w:themeColor="text1"/>
          <w:szCs w:val="22"/>
          <w:lang w:eastAsia="en-GB" w:bidi="ar-SA"/>
        </w:rPr>
        <w:t xml:space="preserve">asmid </w:t>
      </w:r>
      <w:r w:rsidRPr="00B275D4">
        <w:rPr>
          <w:rFonts w:ascii="CharterBT-Roman" w:hAnsi="CharterBT-Roman" w:cs="CharterBT-Roman"/>
          <w:color w:val="000000" w:themeColor="text1"/>
          <w:szCs w:val="22"/>
          <w:lang w:eastAsia="en-GB" w:bidi="ar-SA"/>
        </w:rPr>
        <w:t>pSYN12424 (Figure 2). Following</w:t>
      </w:r>
      <w:r>
        <w:rPr>
          <w:rFonts w:ascii="CharterBT-Roman" w:hAnsi="CharterBT-Roman" w:cs="CharterBT-Roman"/>
          <w:color w:val="000000" w:themeColor="text1"/>
          <w:szCs w:val="22"/>
          <w:lang w:eastAsia="en-GB" w:bidi="ar-SA"/>
        </w:rPr>
        <w:t xml:space="preserve"> co-culture, the calli were</w:t>
      </w:r>
      <w:r w:rsidRPr="00C45488">
        <w:rPr>
          <w:rFonts w:ascii="CharterBT-Roman" w:hAnsi="CharterBT-Roman" w:cs="CharterBT-Roman"/>
          <w:color w:val="000000" w:themeColor="text1"/>
          <w:szCs w:val="22"/>
          <w:lang w:eastAsia="en-GB" w:bidi="ar-SA"/>
        </w:rPr>
        <w:t xml:space="preserve"> </w:t>
      </w:r>
      <w:r>
        <w:rPr>
          <w:rFonts w:ascii="CharterBT-Roman" w:hAnsi="CharterBT-Roman" w:cs="CharterBT-Roman"/>
          <w:color w:val="000000" w:themeColor="text1"/>
          <w:szCs w:val="22"/>
          <w:lang w:eastAsia="en-GB" w:bidi="ar-SA"/>
        </w:rPr>
        <w:t xml:space="preserve">then </w:t>
      </w:r>
      <w:r w:rsidRPr="00C45488">
        <w:rPr>
          <w:rFonts w:ascii="CharterBT-Roman" w:hAnsi="CharterBT-Roman" w:cs="CharterBT-Roman"/>
          <w:color w:val="000000" w:themeColor="text1"/>
          <w:szCs w:val="22"/>
          <w:lang w:eastAsia="en-GB" w:bidi="ar-SA"/>
        </w:rPr>
        <w:t>grown on medium containing ticarcill</w:t>
      </w:r>
      <w:r>
        <w:rPr>
          <w:rFonts w:ascii="CharterBT-Roman" w:hAnsi="CharterBT-Roman" w:cs="CharterBT-Roman"/>
          <w:color w:val="000000" w:themeColor="text1"/>
          <w:szCs w:val="22"/>
          <w:lang w:eastAsia="en-GB" w:bidi="ar-SA"/>
        </w:rPr>
        <w:t xml:space="preserve">in, to inhibit the growth of excess </w:t>
      </w:r>
      <w:r w:rsidRPr="003E7881">
        <w:rPr>
          <w:rFonts w:ascii="CharterBT-Roman" w:hAnsi="CharterBT-Roman" w:cs="CharterBT-Roman"/>
          <w:i/>
          <w:color w:val="000000" w:themeColor="text1"/>
          <w:szCs w:val="22"/>
          <w:lang w:eastAsia="en-GB" w:bidi="ar-SA"/>
        </w:rPr>
        <w:t>Agrobacterium</w:t>
      </w:r>
      <w:r>
        <w:rPr>
          <w:rFonts w:ascii="CharterBT-Roman" w:hAnsi="CharterBT-Roman" w:cs="CharterBT-Roman"/>
          <w:color w:val="000000" w:themeColor="text1"/>
          <w:szCs w:val="22"/>
          <w:lang w:eastAsia="en-GB" w:bidi="ar-SA"/>
        </w:rPr>
        <w:t>, and later</w:t>
      </w:r>
      <w:r w:rsidRPr="00C45488">
        <w:rPr>
          <w:rFonts w:ascii="CharterBT-Roman" w:hAnsi="CharterBT-Roman" w:cs="CharterBT-Roman"/>
          <w:color w:val="000000" w:themeColor="text1"/>
          <w:szCs w:val="22"/>
          <w:lang w:eastAsia="en-GB" w:bidi="ar-SA"/>
        </w:rPr>
        <w:t xml:space="preserve"> transferred to mannose selection medium for five weeks in the dark. Proliferating colonies were transferred to regeneration </w:t>
      </w:r>
      <w:r>
        <w:rPr>
          <w:rFonts w:ascii="CharterBT-Roman" w:hAnsi="CharterBT-Roman" w:cs="CharterBT-Roman"/>
          <w:color w:val="000000" w:themeColor="text1"/>
          <w:szCs w:val="22"/>
          <w:lang w:eastAsia="en-GB" w:bidi="ar-SA"/>
        </w:rPr>
        <w:t>medium.</w:t>
      </w:r>
      <w:r>
        <w:rPr>
          <w:rFonts w:ascii="CharterBT-Roman" w:hAnsi="CharterBT-Roman" w:cs="CharterBT-Roman"/>
          <w:szCs w:val="22"/>
          <w:lang w:eastAsia="en-GB" w:bidi="ar-SA"/>
        </w:rPr>
        <w:t xml:space="preserve"> Shoots were grown in culture until large enough to be transferred to soil in a glasshouse facility.</w:t>
      </w:r>
    </w:p>
    <w:p w14:paraId="2064386F"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870" w14:textId="77777777" w:rsidR="00333AC0" w:rsidRPr="009D39F0" w:rsidRDefault="00333AC0" w:rsidP="00011A05">
      <w:pPr>
        <w:widowControl/>
        <w:autoSpaceDE w:val="0"/>
        <w:autoSpaceDN w:val="0"/>
        <w:adjustRightInd w:val="0"/>
        <w:rPr>
          <w:rFonts w:ascii="CharterBT-Roman" w:hAnsi="CharterBT-Roman" w:cs="CharterBT-Roman"/>
          <w:color w:val="000000" w:themeColor="text1"/>
          <w:szCs w:val="22"/>
          <w:lang w:eastAsia="en-GB" w:bidi="ar-SA"/>
        </w:rPr>
      </w:pPr>
      <w:r w:rsidRPr="005010BA">
        <w:rPr>
          <w:rFonts w:ascii="CharterBT-Roman" w:hAnsi="CharterBT-Roman" w:cs="CharterBT-Roman"/>
          <w:color w:val="000000" w:themeColor="text1"/>
          <w:szCs w:val="22"/>
          <w:lang w:eastAsia="en-GB" w:bidi="ar-SA"/>
        </w:rPr>
        <w:t xml:space="preserve">Some 619 primary transformants were initially created. A series of quantitative polymerase chain reaction </w:t>
      </w:r>
      <w:r w:rsidRPr="00FB7680">
        <w:rPr>
          <w:rFonts w:ascii="CharterBT-Roman" w:hAnsi="CharterBT-Roman" w:cs="CharterBT-Roman"/>
          <w:color w:val="000000" w:themeColor="text1"/>
          <w:szCs w:val="22"/>
          <w:lang w:eastAsia="en-GB" w:bidi="ar-SA"/>
        </w:rPr>
        <w:t>(PCR) analyses were used to retain events that were likely to contain a single copy of the T-DNA. Those</w:t>
      </w:r>
      <w:r w:rsidRPr="005010BA">
        <w:rPr>
          <w:rFonts w:ascii="CharterBT-Roman" w:hAnsi="CharterBT-Roman" w:cs="CharterBT-Roman"/>
          <w:color w:val="000000" w:themeColor="text1"/>
          <w:szCs w:val="22"/>
          <w:lang w:eastAsia="en-GB" w:bidi="ar-SA"/>
        </w:rPr>
        <w:t xml:space="preserve"> events (103 in total) that could be grown </w:t>
      </w:r>
      <w:r>
        <w:rPr>
          <w:rFonts w:ascii="CharterBT-Roman" w:hAnsi="CharterBT-Roman" w:cs="CharterBT-Roman"/>
          <w:color w:val="000000" w:themeColor="text1"/>
          <w:szCs w:val="22"/>
          <w:lang w:eastAsia="en-GB" w:bidi="ar-SA"/>
        </w:rPr>
        <w:t>on to produce at least 100 grains</w:t>
      </w:r>
      <w:r w:rsidRPr="005010BA">
        <w:rPr>
          <w:rFonts w:ascii="CharterBT-Roman" w:hAnsi="CharterBT-Roman" w:cs="CharterBT-Roman"/>
          <w:color w:val="000000" w:themeColor="text1"/>
          <w:szCs w:val="22"/>
          <w:lang w:eastAsia="en-GB" w:bidi="ar-SA"/>
        </w:rPr>
        <w:t xml:space="preserve"> </w:t>
      </w:r>
      <w:r>
        <w:rPr>
          <w:rFonts w:ascii="CharterBT-Roman" w:hAnsi="CharterBT-Roman" w:cs="CharterBT-Roman"/>
          <w:color w:val="000000" w:themeColor="text1"/>
          <w:szCs w:val="22"/>
          <w:lang w:eastAsia="en-GB" w:bidi="ar-SA"/>
        </w:rPr>
        <w:t>were then harvested and the grain</w:t>
      </w:r>
      <w:r w:rsidRPr="005010BA">
        <w:rPr>
          <w:rFonts w:ascii="CharterBT-Roman" w:hAnsi="CharterBT-Roman" w:cs="CharterBT-Roman"/>
          <w:color w:val="000000" w:themeColor="text1"/>
          <w:szCs w:val="22"/>
          <w:lang w:eastAsia="en-GB" w:bidi="ar-SA"/>
        </w:rPr>
        <w:t xml:space="preserve"> was analysed for carotenoid content.</w:t>
      </w:r>
      <w:r>
        <w:rPr>
          <w:rFonts w:ascii="CharterBT-Roman" w:hAnsi="CharterBT-Roman" w:cs="CharterBT-Roman"/>
          <w:color w:val="000000" w:themeColor="text1"/>
          <w:szCs w:val="22"/>
          <w:lang w:eastAsia="en-GB" w:bidi="ar-SA"/>
        </w:rPr>
        <w:t xml:space="preserve"> Grains</w:t>
      </w:r>
      <w:r w:rsidRPr="005010BA">
        <w:rPr>
          <w:rFonts w:ascii="CharterBT-Roman" w:hAnsi="CharterBT-Roman" w:cs="CharterBT-Roman"/>
          <w:color w:val="000000" w:themeColor="text1"/>
          <w:szCs w:val="22"/>
          <w:lang w:eastAsia="en-GB" w:bidi="ar-SA"/>
        </w:rPr>
        <w:t xml:space="preserve"> showing the highest carotenoid levels were selected for further assessment and development. GR2E was ultimately chosen as the lead event based on superior agronomic, </w:t>
      </w:r>
      <w:r w:rsidRPr="009D39F0">
        <w:rPr>
          <w:rFonts w:ascii="CharterBT-Roman" w:hAnsi="CharterBT-Roman" w:cs="CharterBT-Roman"/>
          <w:color w:val="000000" w:themeColor="text1"/>
          <w:szCs w:val="22"/>
          <w:lang w:eastAsia="en-GB" w:bidi="ar-SA"/>
        </w:rPr>
        <w:t>phenotypic and molecular characteristics.</w:t>
      </w:r>
    </w:p>
    <w:p w14:paraId="20643871" w14:textId="77777777" w:rsidR="00333AC0" w:rsidRPr="009D39F0" w:rsidRDefault="00333AC0" w:rsidP="00011A05">
      <w:pPr>
        <w:rPr>
          <w:color w:val="000000" w:themeColor="text1"/>
        </w:rPr>
      </w:pPr>
    </w:p>
    <w:p w14:paraId="20643872" w14:textId="77777777" w:rsidR="00333AC0" w:rsidRDefault="00333AC0" w:rsidP="00011A05">
      <w:pPr>
        <w:keepNext/>
        <w:jc w:val="center"/>
      </w:pPr>
      <w:r>
        <w:rPr>
          <w:noProof/>
          <w:lang w:eastAsia="en-GB" w:bidi="ar-SA"/>
        </w:rPr>
        <w:drawing>
          <wp:inline distT="0" distB="0" distL="0" distR="0" wp14:anchorId="20643F1A" wp14:editId="3C5D90EE">
            <wp:extent cx="5704336" cy="4410075"/>
            <wp:effectExtent l="0" t="0" r="0" b="0"/>
            <wp:docPr id="18" name="Picture 18" title="Figure 2: Genes and regulatory elements contained in plasmid pSYN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435" cy="4418656"/>
                    </a:xfrm>
                    <a:prstGeom prst="rect">
                      <a:avLst/>
                    </a:prstGeom>
                    <a:noFill/>
                    <a:ln>
                      <a:noFill/>
                    </a:ln>
                  </pic:spPr>
                </pic:pic>
              </a:graphicData>
            </a:graphic>
          </wp:inline>
        </w:drawing>
      </w:r>
    </w:p>
    <w:p w14:paraId="20643873" w14:textId="77777777" w:rsidR="00333AC0" w:rsidRPr="009D39F0" w:rsidRDefault="00333AC0" w:rsidP="00011A05">
      <w:pPr>
        <w:pStyle w:val="FSFigureTitle"/>
        <w:rPr>
          <w:color w:val="000000" w:themeColor="text1"/>
        </w:rPr>
      </w:pPr>
      <w:bookmarkStart w:id="19" w:name="_Toc470008740"/>
      <w:r>
        <w:t xml:space="preserve">Figure </w:t>
      </w:r>
      <w:r>
        <w:fldChar w:fldCharType="begin"/>
      </w:r>
      <w:r>
        <w:instrText xml:space="preserve"> SEQ Figure \* ARABIC </w:instrText>
      </w:r>
      <w:r>
        <w:fldChar w:fldCharType="separate"/>
      </w:r>
      <w:r w:rsidR="00286242">
        <w:rPr>
          <w:noProof/>
        </w:rPr>
        <w:t>2</w:t>
      </w:r>
      <w:r>
        <w:rPr>
          <w:noProof/>
        </w:rPr>
        <w:fldChar w:fldCharType="end"/>
      </w:r>
      <w:r>
        <w:t xml:space="preserve">: </w:t>
      </w:r>
      <w:r w:rsidRPr="009A7CA7">
        <w:t>Genes and regulatory elements contained in plasmid pSYN1242</w:t>
      </w:r>
      <w:r>
        <w:t>4</w:t>
      </w:r>
      <w:bookmarkEnd w:id="19"/>
    </w:p>
    <w:p w14:paraId="20643874" w14:textId="77777777" w:rsidR="00333AC0" w:rsidRPr="00E35FDF" w:rsidRDefault="00333AC0" w:rsidP="00011A05">
      <w:pPr>
        <w:pStyle w:val="Heading2"/>
        <w:rPr>
          <w:color w:val="000000" w:themeColor="text1"/>
        </w:rPr>
      </w:pPr>
      <w:bookmarkStart w:id="20" w:name="_Toc470008716"/>
      <w:r w:rsidRPr="00E35FDF">
        <w:rPr>
          <w:color w:val="000000" w:themeColor="text1"/>
        </w:rPr>
        <w:t xml:space="preserve">3.2 </w:t>
      </w:r>
      <w:r w:rsidRPr="00E35FDF">
        <w:rPr>
          <w:color w:val="000000" w:themeColor="text1"/>
        </w:rPr>
        <w:tab/>
        <w:t>Function and regulation of introduced gene fragments</w:t>
      </w:r>
      <w:bookmarkEnd w:id="20"/>
    </w:p>
    <w:p w14:paraId="20643875" w14:textId="77777777" w:rsidR="00333AC0" w:rsidRPr="00E35FDF" w:rsidRDefault="00333AC0" w:rsidP="00011A05">
      <w:pPr>
        <w:rPr>
          <w:color w:val="000000" w:themeColor="text1"/>
        </w:rPr>
      </w:pPr>
      <w:r w:rsidRPr="00E35FDF">
        <w:rPr>
          <w:color w:val="000000" w:themeColor="text1"/>
        </w:rPr>
        <w:t xml:space="preserve">Information on the genetic elements in the T-DNA used for transformation is summarised in </w:t>
      </w:r>
      <w:r w:rsidRPr="00B275D4">
        <w:rPr>
          <w:color w:val="000000" w:themeColor="text1"/>
        </w:rPr>
        <w:t>Table 1. The complete plasmid is 14,339 bp comprising 5,309 bp vector backbone and 9,030 bp T-DNA (Figures 2 &amp; 3). The T-DNA contains three cassettes located between a 25 bp Left Border (LB) and 25 bp</w:t>
      </w:r>
      <w:r w:rsidRPr="00605EEA">
        <w:rPr>
          <w:color w:val="000000" w:themeColor="text1"/>
        </w:rPr>
        <w:t xml:space="preserve"> Right Border (RB) together with short non-coding regions of the </w:t>
      </w:r>
      <w:r w:rsidRPr="00605EEA">
        <w:rPr>
          <w:i/>
          <w:color w:val="000000" w:themeColor="text1"/>
        </w:rPr>
        <w:t>A. tumefaciens</w:t>
      </w:r>
      <w:r w:rsidRPr="00605EEA">
        <w:rPr>
          <w:color w:val="000000" w:themeColor="text1"/>
        </w:rPr>
        <w:t xml:space="preserve"> Ti plasmid that help support transfer of the T-DNA into the host genome. Intervening sequences, where present, have assisted with the cloning of the various</w:t>
      </w:r>
      <w:r>
        <w:rPr>
          <w:color w:val="000000" w:themeColor="text1"/>
        </w:rPr>
        <w:t xml:space="preserve"> components of each cassette.</w:t>
      </w:r>
    </w:p>
    <w:p w14:paraId="20643876" w14:textId="77777777" w:rsidR="00333AC0" w:rsidRDefault="00333AC0" w:rsidP="00011A05">
      <w:pPr>
        <w:rPr>
          <w:color w:val="000000" w:themeColor="text1"/>
        </w:rPr>
      </w:pPr>
    </w:p>
    <w:p w14:paraId="20643877" w14:textId="77777777" w:rsidR="00333AC0" w:rsidRDefault="00333AC0" w:rsidP="00011A05">
      <w:pPr>
        <w:rPr>
          <w:color w:val="000000" w:themeColor="text1"/>
        </w:rPr>
      </w:pPr>
    </w:p>
    <w:p w14:paraId="20643878" w14:textId="77777777" w:rsidR="00333AC0" w:rsidRPr="00E35FDF" w:rsidRDefault="00333AC0" w:rsidP="00011A05">
      <w:pPr>
        <w:rPr>
          <w:color w:val="000000" w:themeColor="text1"/>
        </w:rPr>
      </w:pPr>
    </w:p>
    <w:p w14:paraId="20643879" w14:textId="77777777" w:rsidR="00333AC0" w:rsidRDefault="00333AC0" w:rsidP="00011A05">
      <w:pPr>
        <w:pStyle w:val="FSFigureTitle"/>
        <w:keepNext/>
        <w:jc w:val="center"/>
      </w:pPr>
      <w:r w:rsidRPr="00E35FDF">
        <w:rPr>
          <w:noProof/>
          <w:color w:val="000000" w:themeColor="text1"/>
          <w:lang w:eastAsia="en-GB" w:bidi="ar-SA"/>
        </w:rPr>
        <w:drawing>
          <wp:inline distT="0" distB="0" distL="0" distR="0" wp14:anchorId="20643F1C" wp14:editId="2EC53E90">
            <wp:extent cx="5753100" cy="904875"/>
            <wp:effectExtent l="0" t="0" r="0" b="9525"/>
            <wp:docPr id="9" name="Picture 9" title="Figure 3: Design of pSYN12424 T-DN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904875"/>
                    </a:xfrm>
                    <a:prstGeom prst="rect">
                      <a:avLst/>
                    </a:prstGeom>
                    <a:noFill/>
                    <a:ln>
                      <a:noFill/>
                    </a:ln>
                  </pic:spPr>
                </pic:pic>
              </a:graphicData>
            </a:graphic>
          </wp:inline>
        </w:drawing>
      </w:r>
    </w:p>
    <w:p w14:paraId="2064387A" w14:textId="77777777" w:rsidR="00333AC0" w:rsidRPr="00E35FDF" w:rsidRDefault="00333AC0" w:rsidP="00011A05">
      <w:pPr>
        <w:pStyle w:val="FSFigureTitle"/>
        <w:rPr>
          <w:color w:val="000000" w:themeColor="text1"/>
        </w:rPr>
      </w:pPr>
      <w:bookmarkStart w:id="21" w:name="_Toc470008741"/>
      <w:r>
        <w:t xml:space="preserve">Figure </w:t>
      </w:r>
      <w:r>
        <w:fldChar w:fldCharType="begin"/>
      </w:r>
      <w:r>
        <w:instrText xml:space="preserve"> SEQ Figure \* ARABIC </w:instrText>
      </w:r>
      <w:r>
        <w:fldChar w:fldCharType="separate"/>
      </w:r>
      <w:r w:rsidR="00286242">
        <w:rPr>
          <w:noProof/>
        </w:rPr>
        <w:t>3</w:t>
      </w:r>
      <w:r>
        <w:rPr>
          <w:noProof/>
        </w:rPr>
        <w:fldChar w:fldCharType="end"/>
      </w:r>
      <w:r>
        <w:t xml:space="preserve">: </w:t>
      </w:r>
      <w:r w:rsidRPr="00980792">
        <w:t>Design of pSYN1242</w:t>
      </w:r>
      <w:r>
        <w:t>4</w:t>
      </w:r>
      <w:r w:rsidRPr="00980792">
        <w:t xml:space="preserve"> T-DNA region</w:t>
      </w:r>
      <w:bookmarkEnd w:id="21"/>
    </w:p>
    <w:p w14:paraId="2064387B" w14:textId="77777777" w:rsidR="00333AC0" w:rsidRPr="00E35FDF" w:rsidRDefault="00333AC0" w:rsidP="00011A05">
      <w:pPr>
        <w:rPr>
          <w:color w:val="000000" w:themeColor="text1"/>
        </w:rPr>
      </w:pPr>
    </w:p>
    <w:p w14:paraId="2064387C" w14:textId="77777777" w:rsidR="00333AC0" w:rsidRDefault="00333AC0">
      <w:pPr>
        <w:widowControl/>
        <w:rPr>
          <w:rFonts w:ascii="Arial Bold" w:hAnsi="Arial Bold" w:cs="Arial"/>
          <w:b/>
          <w:color w:val="000000" w:themeColor="text1"/>
          <w:szCs w:val="22"/>
        </w:rPr>
      </w:pPr>
      <w:r>
        <w:rPr>
          <w:color w:val="000000" w:themeColor="text1"/>
          <w:szCs w:val="22"/>
        </w:rPr>
        <w:br w:type="page"/>
      </w:r>
    </w:p>
    <w:p w14:paraId="2064387D" w14:textId="77777777" w:rsidR="00333AC0" w:rsidRPr="00045ADE" w:rsidRDefault="00333AC0" w:rsidP="00011A05">
      <w:pPr>
        <w:pStyle w:val="FSTableHeading"/>
        <w:jc w:val="left"/>
        <w:rPr>
          <w:color w:val="000000" w:themeColor="text1"/>
          <w:sz w:val="22"/>
          <w:szCs w:val="22"/>
        </w:rPr>
      </w:pPr>
      <w:bookmarkStart w:id="22" w:name="_Toc487212000"/>
      <w:r w:rsidRPr="00045ADE">
        <w:rPr>
          <w:color w:val="000000" w:themeColor="text1"/>
          <w:sz w:val="22"/>
          <w:szCs w:val="22"/>
        </w:rPr>
        <w:t xml:space="preserve">Table </w:t>
      </w:r>
      <w:r w:rsidRPr="00045ADE">
        <w:rPr>
          <w:color w:val="000000" w:themeColor="text1"/>
          <w:sz w:val="22"/>
          <w:szCs w:val="22"/>
        </w:rPr>
        <w:fldChar w:fldCharType="begin"/>
      </w:r>
      <w:r w:rsidRPr="00045ADE">
        <w:rPr>
          <w:color w:val="000000" w:themeColor="text1"/>
          <w:sz w:val="22"/>
          <w:szCs w:val="22"/>
        </w:rPr>
        <w:instrText xml:space="preserve"> SEQ Table \* ARABIC </w:instrText>
      </w:r>
      <w:r w:rsidRPr="00045ADE">
        <w:rPr>
          <w:color w:val="000000" w:themeColor="text1"/>
          <w:sz w:val="22"/>
          <w:szCs w:val="22"/>
        </w:rPr>
        <w:fldChar w:fldCharType="separate"/>
      </w:r>
      <w:r w:rsidR="00286242">
        <w:rPr>
          <w:noProof/>
          <w:color w:val="000000" w:themeColor="text1"/>
          <w:sz w:val="22"/>
          <w:szCs w:val="22"/>
        </w:rPr>
        <w:t>1</w:t>
      </w:r>
      <w:r w:rsidRPr="00045ADE">
        <w:rPr>
          <w:color w:val="000000" w:themeColor="text1"/>
          <w:sz w:val="22"/>
          <w:szCs w:val="22"/>
        </w:rPr>
        <w:fldChar w:fldCharType="end"/>
      </w:r>
      <w:r w:rsidRPr="00045ADE">
        <w:rPr>
          <w:color w:val="000000" w:themeColor="text1"/>
          <w:sz w:val="22"/>
          <w:szCs w:val="22"/>
        </w:rPr>
        <w:t>: Description of the genetic elements contained in the T-DNA of pSYN1242</w:t>
      </w:r>
      <w:r>
        <w:rPr>
          <w:color w:val="000000" w:themeColor="text1"/>
          <w:sz w:val="22"/>
          <w:szCs w:val="22"/>
        </w:rPr>
        <w:t>4</w:t>
      </w:r>
      <w:bookmarkEnd w:id="22"/>
    </w:p>
    <w:p w14:paraId="2064387E" w14:textId="77777777" w:rsidR="00333AC0" w:rsidRDefault="00333AC0" w:rsidP="00011A05">
      <w:pPr>
        <w:pStyle w:val="FSTableHeading"/>
        <w:jc w:val="left"/>
        <w:rPr>
          <w:color w:val="000000" w:themeColor="text1"/>
          <w:sz w:val="22"/>
          <w:szCs w:val="22"/>
        </w:rPr>
      </w:pPr>
    </w:p>
    <w:p w14:paraId="2064387F" w14:textId="77777777" w:rsidR="00333AC0" w:rsidRPr="00045ADE" w:rsidRDefault="00333AC0" w:rsidP="00011A05">
      <w:pPr>
        <w:pStyle w:val="FSTableHeading"/>
        <w:jc w:val="left"/>
        <w:rPr>
          <w:color w:val="000000" w:themeColor="text1"/>
          <w:sz w:val="22"/>
          <w:szCs w:val="22"/>
        </w:rPr>
      </w:pPr>
    </w:p>
    <w:tbl>
      <w:tblPr>
        <w:tblW w:w="9322" w:type="dxa"/>
        <w:tblLayout w:type="fixed"/>
        <w:tblLook w:val="0000" w:firstRow="0" w:lastRow="0" w:firstColumn="0" w:lastColumn="0" w:noHBand="0" w:noVBand="0"/>
        <w:tblCaption w:val="Table 1: Description of the genetic elements contained in the T-DNA of pSYN12424"/>
      </w:tblPr>
      <w:tblGrid>
        <w:gridCol w:w="1242"/>
        <w:gridCol w:w="1276"/>
        <w:gridCol w:w="709"/>
        <w:gridCol w:w="1417"/>
        <w:gridCol w:w="993"/>
        <w:gridCol w:w="2126"/>
        <w:gridCol w:w="1559"/>
      </w:tblGrid>
      <w:tr w:rsidR="00333AC0" w:rsidRPr="00E308F0" w14:paraId="20643887" w14:textId="77777777" w:rsidTr="00011A05">
        <w:trPr>
          <w:tblHeader/>
        </w:trPr>
        <w:tc>
          <w:tcPr>
            <w:tcW w:w="1242"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0" w14:textId="77777777" w:rsidR="00333AC0" w:rsidRPr="00045ADE" w:rsidRDefault="00333AC0" w:rsidP="00011A05">
            <w:pPr>
              <w:widowControl/>
              <w:spacing w:after="120"/>
              <w:jc w:val="center"/>
              <w:rPr>
                <w:rFonts w:eastAsia="Batang" w:cs="Arial"/>
                <w:b/>
                <w:bCs/>
                <w:iCs/>
                <w:color w:val="FFFFFF" w:themeColor="background1"/>
                <w:sz w:val="16"/>
                <w:szCs w:val="16"/>
                <w:lang w:val="en-AU" w:bidi="ar-SA"/>
              </w:rPr>
            </w:pPr>
            <w:r w:rsidRPr="00045ADE">
              <w:rPr>
                <w:rFonts w:eastAsia="Batang" w:cs="Arial"/>
                <w:b/>
                <w:bCs/>
                <w:iCs/>
                <w:color w:val="FFFFFF" w:themeColor="background1"/>
                <w:sz w:val="16"/>
                <w:szCs w:val="16"/>
                <w:lang w:val="en-AU" w:bidi="ar-SA"/>
              </w:rPr>
              <w:t>Genetic element</w:t>
            </w:r>
          </w:p>
        </w:tc>
        <w:tc>
          <w:tcPr>
            <w:tcW w:w="127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1" w14:textId="77777777" w:rsidR="00333AC0" w:rsidRPr="00045ADE" w:rsidRDefault="00333AC0" w:rsidP="00011A05">
            <w:pPr>
              <w:widowControl/>
              <w:spacing w:after="120"/>
              <w:jc w:val="center"/>
              <w:rPr>
                <w:rFonts w:eastAsia="Batang" w:cs="Arial"/>
                <w:b/>
                <w:bCs/>
                <w:iCs/>
                <w:color w:val="FFFFFF" w:themeColor="background1"/>
                <w:sz w:val="16"/>
                <w:szCs w:val="16"/>
                <w:lang w:val="en-AU" w:bidi="ar-SA"/>
              </w:rPr>
            </w:pPr>
            <w:r w:rsidRPr="00045ADE">
              <w:rPr>
                <w:rFonts w:eastAsia="Batang" w:cs="Arial"/>
                <w:b/>
                <w:bCs/>
                <w:iCs/>
                <w:color w:val="FFFFFF" w:themeColor="background1"/>
                <w:sz w:val="16"/>
                <w:szCs w:val="16"/>
                <w:lang w:val="en-AU" w:bidi="ar-SA"/>
              </w:rPr>
              <w:t>Relative bp location on plasmid</w:t>
            </w:r>
          </w:p>
        </w:tc>
        <w:tc>
          <w:tcPr>
            <w:tcW w:w="70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2" w14:textId="77777777" w:rsidR="00333AC0" w:rsidRPr="00045ADE" w:rsidRDefault="00333AC0" w:rsidP="00011A05">
            <w:pPr>
              <w:widowControl/>
              <w:spacing w:after="120"/>
              <w:jc w:val="center"/>
              <w:rPr>
                <w:rFonts w:eastAsia="Batang" w:cs="Arial"/>
                <w:b/>
                <w:bCs/>
                <w:iCs/>
                <w:color w:val="FFFFFF" w:themeColor="background1"/>
                <w:sz w:val="16"/>
                <w:szCs w:val="16"/>
                <w:lang w:val="en-AU" w:bidi="ar-SA"/>
              </w:rPr>
            </w:pPr>
            <w:r w:rsidRPr="00045ADE">
              <w:rPr>
                <w:rFonts w:eastAsia="Batang" w:cs="Arial"/>
                <w:b/>
                <w:bCs/>
                <w:iCs/>
                <w:color w:val="FFFFFF" w:themeColor="background1"/>
                <w:sz w:val="16"/>
                <w:szCs w:val="16"/>
                <w:lang w:val="en-AU" w:bidi="ar-SA"/>
              </w:rPr>
              <w:t>Size (bp)</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3" w14:textId="77777777" w:rsidR="00333AC0" w:rsidRPr="00045ADE" w:rsidRDefault="00333AC0" w:rsidP="00011A05">
            <w:pPr>
              <w:widowControl/>
              <w:spacing w:after="120"/>
              <w:jc w:val="center"/>
              <w:rPr>
                <w:rFonts w:eastAsia="Batang" w:cs="Arial"/>
                <w:b/>
                <w:bCs/>
                <w:iCs/>
                <w:color w:val="FFFFFF" w:themeColor="background1"/>
                <w:sz w:val="16"/>
                <w:szCs w:val="16"/>
                <w:lang w:val="en-AU" w:bidi="ar-SA"/>
              </w:rPr>
            </w:pPr>
            <w:r w:rsidRPr="00045ADE">
              <w:rPr>
                <w:rFonts w:eastAsia="Batang" w:cs="Arial"/>
                <w:b/>
                <w:bCs/>
                <w:iCs/>
                <w:color w:val="FFFFFF" w:themeColor="background1"/>
                <w:sz w:val="16"/>
                <w:szCs w:val="16"/>
                <w:lang w:val="en-AU" w:bidi="ar-SA"/>
              </w:rPr>
              <w:t>Source</w:t>
            </w:r>
          </w:p>
        </w:tc>
        <w:tc>
          <w:tcPr>
            <w:tcW w:w="99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4" w14:textId="77777777" w:rsidR="00333AC0" w:rsidRDefault="00333AC0" w:rsidP="00011A05">
            <w:pPr>
              <w:widowControl/>
              <w:spacing w:after="120"/>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Orient.</w:t>
            </w:r>
          </w:p>
        </w:tc>
        <w:tc>
          <w:tcPr>
            <w:tcW w:w="212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5" w14:textId="77777777" w:rsidR="00333AC0" w:rsidRPr="00045ADE" w:rsidRDefault="00333AC0" w:rsidP="00011A05">
            <w:pPr>
              <w:widowControl/>
              <w:spacing w:after="120"/>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 &amp;</w:t>
            </w:r>
            <w:r w:rsidRPr="00045ADE">
              <w:rPr>
                <w:rFonts w:eastAsia="Batang" w:cs="Arial"/>
                <w:b/>
                <w:bCs/>
                <w:iCs/>
                <w:color w:val="FFFFFF" w:themeColor="background1"/>
                <w:sz w:val="16"/>
                <w:szCs w:val="16"/>
                <w:lang w:val="en-AU" w:bidi="ar-SA"/>
              </w:rPr>
              <w:t>Function</w:t>
            </w:r>
          </w:p>
        </w:tc>
        <w:tc>
          <w:tcPr>
            <w:tcW w:w="155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643886" w14:textId="77777777" w:rsidR="00333AC0" w:rsidRDefault="00333AC0" w:rsidP="00011A05">
            <w:pPr>
              <w:widowControl/>
              <w:spacing w:after="120"/>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Reference</w:t>
            </w:r>
          </w:p>
        </w:tc>
      </w:tr>
      <w:tr w:rsidR="00333AC0" w:rsidRPr="00E308F0" w14:paraId="2064388F" w14:textId="77777777" w:rsidTr="00011A05">
        <w:trPr>
          <w:trHeight w:val="504"/>
        </w:trPr>
        <w:tc>
          <w:tcPr>
            <w:tcW w:w="12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88" w14:textId="77777777" w:rsidR="00333AC0" w:rsidRPr="00087200" w:rsidRDefault="00333AC0" w:rsidP="00011A05">
            <w:pPr>
              <w:widowControl/>
              <w:rPr>
                <w:rFonts w:eastAsia="Batang" w:cs="Arial"/>
                <w:iCs/>
                <w:color w:val="000000" w:themeColor="text1"/>
                <w:sz w:val="16"/>
                <w:szCs w:val="16"/>
                <w:lang w:val="en-AU" w:bidi="ar-SA"/>
              </w:rPr>
            </w:pPr>
            <w:r w:rsidRPr="00087200">
              <w:rPr>
                <w:rFonts w:eastAsia="Batang" w:cs="Arial"/>
                <w:iCs/>
                <w:color w:val="000000" w:themeColor="text1"/>
                <w:sz w:val="16"/>
                <w:szCs w:val="16"/>
                <w:lang w:val="en-AU" w:bidi="ar-SA"/>
              </w:rPr>
              <w:t>Right Border</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89" w14:textId="77777777" w:rsidR="00333AC0" w:rsidRPr="00087200" w:rsidRDefault="00333AC0" w:rsidP="00011A05">
            <w:pPr>
              <w:widowControl/>
              <w:jc w:val="center"/>
              <w:rPr>
                <w:rFonts w:eastAsia="Batang" w:cs="Arial"/>
                <w:iCs/>
                <w:color w:val="000000" w:themeColor="text1"/>
                <w:sz w:val="16"/>
                <w:szCs w:val="16"/>
                <w:lang w:val="en-AU" w:bidi="ar-SA"/>
              </w:rPr>
            </w:pPr>
            <w:r w:rsidRPr="00087200">
              <w:rPr>
                <w:rFonts w:eastAsia="Batang" w:cs="Arial"/>
                <w:iCs/>
                <w:color w:val="000000" w:themeColor="text1"/>
                <w:sz w:val="16"/>
                <w:szCs w:val="16"/>
                <w:lang w:val="en-AU" w:bidi="ar-SA"/>
              </w:rPr>
              <w:t>1 - 25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8A" w14:textId="77777777" w:rsidR="00333AC0" w:rsidRPr="00087200" w:rsidRDefault="00333AC0" w:rsidP="00011A05">
            <w:pPr>
              <w:widowControl/>
              <w:jc w:val="center"/>
              <w:rPr>
                <w:rFonts w:eastAsia="Batang" w:cs="Arial"/>
                <w:iCs/>
                <w:color w:val="000000" w:themeColor="text1"/>
                <w:sz w:val="16"/>
                <w:szCs w:val="16"/>
                <w:lang w:val="en-AU" w:bidi="ar-SA"/>
              </w:rPr>
            </w:pPr>
            <w:r w:rsidRPr="00087200">
              <w:rPr>
                <w:rFonts w:eastAsia="Batang" w:cs="Arial"/>
                <w:iCs/>
                <w:color w:val="000000" w:themeColor="text1"/>
                <w:sz w:val="16"/>
                <w:szCs w:val="16"/>
                <w:lang w:val="en-AU"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8B" w14:textId="77777777" w:rsidR="00333AC0" w:rsidRPr="00087200" w:rsidRDefault="00333AC0" w:rsidP="00011A05">
            <w:pPr>
              <w:widowControl/>
              <w:jc w:val="center"/>
              <w:rPr>
                <w:rFonts w:eastAsia="Batang" w:cs="Arial"/>
                <w:iCs/>
                <w:color w:val="000000" w:themeColor="text1"/>
                <w:sz w:val="16"/>
                <w:szCs w:val="16"/>
                <w:lang w:val="en-AU" w:bidi="ar-SA"/>
              </w:rPr>
            </w:pPr>
            <w:r w:rsidRPr="00087200">
              <w:rPr>
                <w:rFonts w:eastAsia="Batang" w:cs="Arial"/>
                <w:iCs/>
                <w:color w:val="000000" w:themeColor="text1"/>
                <w:sz w:val="16"/>
                <w:szCs w:val="16"/>
                <w:vertAlign w:val="superscript"/>
                <w:lang w:val="en-AU" w:bidi="ar-SA"/>
              </w:rPr>
              <w:t>1</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88C" w14:textId="77777777" w:rsidR="00333AC0" w:rsidRPr="00087200" w:rsidRDefault="00333AC0" w:rsidP="00011A05">
            <w:pPr>
              <w:widowControl/>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8D" w14:textId="77777777" w:rsidR="00333AC0" w:rsidRPr="00087200" w:rsidRDefault="00333AC0" w:rsidP="00011A05">
            <w:pPr>
              <w:widowControl/>
              <w:jc w:val="center"/>
              <w:rPr>
                <w:rFonts w:eastAsia="Batang" w:cs="Arial"/>
                <w:iCs/>
                <w:color w:val="000000" w:themeColor="text1"/>
                <w:sz w:val="16"/>
                <w:szCs w:val="16"/>
                <w:lang w:val="en-AU" w:bidi="ar-SA"/>
              </w:rPr>
            </w:pPr>
            <w:r w:rsidRPr="00087200">
              <w:rPr>
                <w:rFonts w:eastAsia="Batang" w:cs="Arial"/>
                <w:iCs/>
                <w:color w:val="000000" w:themeColor="text1"/>
                <w:sz w:val="16"/>
                <w:szCs w:val="16"/>
                <w:lang w:val="en-AU" w:bidi="ar-SA"/>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88E" w14:textId="77777777" w:rsidR="00333AC0" w:rsidRPr="00087200" w:rsidRDefault="00333AC0" w:rsidP="00011A05">
            <w:pPr>
              <w:widowControl/>
              <w:jc w:val="center"/>
              <w:rPr>
                <w:rFonts w:eastAsia="Batang" w:cs="Arial"/>
                <w:iCs/>
                <w:color w:val="000000" w:themeColor="text1"/>
                <w:sz w:val="16"/>
                <w:szCs w:val="16"/>
                <w:lang w:val="en-AU" w:bidi="ar-SA"/>
              </w:rPr>
            </w:pPr>
          </w:p>
        </w:tc>
      </w:tr>
      <w:tr w:rsidR="00333AC0" w:rsidRPr="00E308F0" w14:paraId="20643897" w14:textId="77777777" w:rsidTr="00011A05">
        <w:trPr>
          <w:trHeight w:val="504"/>
        </w:trPr>
        <w:tc>
          <w:tcPr>
            <w:tcW w:w="12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90" w14:textId="77777777" w:rsidR="00333AC0" w:rsidRPr="00087200" w:rsidRDefault="00333AC0" w:rsidP="00011A0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Ti plasmid region</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91" w14:textId="77777777" w:rsidR="00333AC0" w:rsidRPr="00087200" w:rsidRDefault="00333AC0" w:rsidP="0022311E">
            <w:pPr>
              <w:pStyle w:val="ListParagraph"/>
              <w:widowControl/>
              <w:numPr>
                <w:ilvl w:val="0"/>
                <w:numId w:val="4"/>
              </w:numPr>
              <w:ind w:left="34" w:firstLine="0"/>
              <w:jc w:val="center"/>
              <w:rPr>
                <w:rFonts w:eastAsia="Batang" w:cs="Arial"/>
                <w:iCs/>
                <w:color w:val="000000" w:themeColor="text1"/>
                <w:sz w:val="16"/>
                <w:szCs w:val="16"/>
                <w:lang w:val="en-AU" w:bidi="ar-SA"/>
              </w:rPr>
            </w:pPr>
            <w:r w:rsidRPr="00087200">
              <w:rPr>
                <w:rFonts w:eastAsia="Batang" w:cs="Arial"/>
                <w:iCs/>
                <w:color w:val="000000" w:themeColor="text1"/>
                <w:sz w:val="16"/>
                <w:szCs w:val="16"/>
                <w:lang w:val="en-AU" w:bidi="ar-SA"/>
              </w:rPr>
              <w:t>- 219</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92" w14:textId="77777777" w:rsidR="00333AC0" w:rsidRPr="00087200" w:rsidRDefault="00333AC0" w:rsidP="00011A0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93" w14:textId="77777777" w:rsidR="00333AC0" w:rsidRPr="00087200" w:rsidRDefault="00333AC0" w:rsidP="00011A05">
            <w:pPr>
              <w:pStyle w:val="ListParagraph"/>
              <w:widowControl/>
              <w:ind w:left="33"/>
              <w:jc w:val="center"/>
              <w:rPr>
                <w:rFonts w:eastAsia="Batang" w:cs="Arial"/>
                <w:i/>
                <w:iCs/>
                <w:color w:val="000000" w:themeColor="text1"/>
                <w:sz w:val="16"/>
                <w:szCs w:val="16"/>
                <w:lang w:val="en-AU" w:bidi="ar-SA"/>
              </w:rPr>
            </w:pPr>
            <w:r w:rsidRPr="00087200">
              <w:rPr>
                <w:rFonts w:eastAsia="Batang" w:cs="Arial"/>
                <w:i/>
                <w:iCs/>
                <w:color w:val="000000" w:themeColor="text1"/>
                <w:sz w:val="16"/>
                <w:szCs w:val="16"/>
                <w:lang w:val="en-AU" w:bidi="ar-SA"/>
              </w:rPr>
              <w:t>Agrobacterium tumefaciens</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894" w14:textId="77777777" w:rsidR="00333AC0" w:rsidRPr="00087200" w:rsidRDefault="00333AC0" w:rsidP="00011A05">
            <w:pPr>
              <w:widowControl/>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895" w14:textId="77777777" w:rsidR="00333AC0" w:rsidRPr="00087200" w:rsidRDefault="00333AC0" w:rsidP="00011A05">
            <w:pPr>
              <w:widowControl/>
              <w:jc w:val="center"/>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896" w14:textId="77777777" w:rsidR="00333AC0" w:rsidRPr="00087200" w:rsidRDefault="00333AC0" w:rsidP="00011A05">
            <w:pPr>
              <w:widowControl/>
              <w:jc w:val="center"/>
              <w:rPr>
                <w:rFonts w:eastAsia="Batang" w:cs="Arial"/>
                <w:iCs/>
                <w:color w:val="000000" w:themeColor="text1"/>
                <w:sz w:val="16"/>
                <w:szCs w:val="16"/>
                <w:lang w:val="en-AU" w:bidi="ar-SA"/>
              </w:rPr>
            </w:pPr>
          </w:p>
        </w:tc>
      </w:tr>
      <w:tr w:rsidR="00333AC0" w:rsidRPr="00E308F0" w14:paraId="20643899" w14:textId="77777777" w:rsidTr="00011A05">
        <w:trPr>
          <w:trHeight w:val="624"/>
        </w:trPr>
        <w:tc>
          <w:tcPr>
            <w:tcW w:w="9322" w:type="dxa"/>
            <w:gridSpan w:val="7"/>
            <w:tcBorders>
              <w:top w:val="single" w:sz="4" w:space="0" w:color="auto"/>
              <w:left w:val="single" w:sz="4" w:space="0" w:color="auto"/>
              <w:bottom w:val="single" w:sz="4" w:space="0" w:color="auto"/>
              <w:right w:val="single" w:sz="4" w:space="0" w:color="auto"/>
            </w:tcBorders>
            <w:shd w:val="clear" w:color="auto" w:fill="66CCFF"/>
            <w:vAlign w:val="center"/>
          </w:tcPr>
          <w:p w14:paraId="20643898" w14:textId="77777777" w:rsidR="00333AC0" w:rsidRPr="00087200" w:rsidRDefault="00333AC0" w:rsidP="00011A05">
            <w:pPr>
              <w:widowControl/>
              <w:rPr>
                <w:rFonts w:eastAsia="Batang" w:cs="Arial"/>
                <w:iCs/>
                <w:color w:val="000000" w:themeColor="text1"/>
                <w:sz w:val="16"/>
                <w:szCs w:val="16"/>
                <w:lang w:val="en-AU" w:bidi="ar-SA"/>
              </w:rPr>
            </w:pPr>
            <w:r w:rsidRPr="00087200">
              <w:rPr>
                <w:rFonts w:eastAsia="Batang" w:cs="Arial"/>
                <w:b/>
                <w:i/>
                <w:iCs/>
                <w:color w:val="000000" w:themeColor="text1"/>
                <w:sz w:val="16"/>
                <w:szCs w:val="16"/>
                <w:lang w:val="en-AU" w:bidi="ar-SA"/>
              </w:rPr>
              <w:t>crtI</w:t>
            </w:r>
            <w:r w:rsidRPr="00087200">
              <w:rPr>
                <w:rFonts w:eastAsia="Batang" w:cs="Arial"/>
                <w:b/>
                <w:iCs/>
                <w:color w:val="000000" w:themeColor="text1"/>
                <w:sz w:val="16"/>
                <w:szCs w:val="16"/>
                <w:lang w:val="en-AU" w:bidi="ar-SA"/>
              </w:rPr>
              <w:t xml:space="preserve"> cassette</w:t>
            </w:r>
          </w:p>
        </w:tc>
      </w:tr>
      <w:tr w:rsidR="00333AC0" w:rsidRPr="00E308F0" w14:paraId="206438A3"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9A"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GluA-2</w:t>
            </w:r>
          </w:p>
        </w:tc>
        <w:tc>
          <w:tcPr>
            <w:tcW w:w="1276" w:type="dxa"/>
            <w:tcBorders>
              <w:top w:val="single" w:sz="4" w:space="0" w:color="auto"/>
              <w:left w:val="single" w:sz="4" w:space="0" w:color="auto"/>
              <w:bottom w:val="single" w:sz="4" w:space="0" w:color="auto"/>
              <w:right w:val="single" w:sz="4" w:space="0" w:color="auto"/>
            </w:tcBorders>
            <w:vAlign w:val="center"/>
          </w:tcPr>
          <w:p w14:paraId="2064389B"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220 – 1047</w:t>
            </w:r>
          </w:p>
        </w:tc>
        <w:tc>
          <w:tcPr>
            <w:tcW w:w="709" w:type="dxa"/>
            <w:tcBorders>
              <w:top w:val="single" w:sz="4" w:space="0" w:color="auto"/>
              <w:left w:val="single" w:sz="4" w:space="0" w:color="auto"/>
              <w:bottom w:val="single" w:sz="4" w:space="0" w:color="auto"/>
              <w:right w:val="single" w:sz="4" w:space="0" w:color="auto"/>
            </w:tcBorders>
            <w:vAlign w:val="center"/>
          </w:tcPr>
          <w:p w14:paraId="2064389C"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828</w:t>
            </w:r>
          </w:p>
        </w:tc>
        <w:tc>
          <w:tcPr>
            <w:tcW w:w="1417" w:type="dxa"/>
            <w:tcBorders>
              <w:top w:val="single" w:sz="4" w:space="0" w:color="auto"/>
              <w:left w:val="single" w:sz="4" w:space="0" w:color="auto"/>
              <w:bottom w:val="single" w:sz="4" w:space="0" w:color="auto"/>
              <w:right w:val="single" w:sz="4" w:space="0" w:color="auto"/>
            </w:tcBorders>
            <w:vAlign w:val="center"/>
          </w:tcPr>
          <w:p w14:paraId="2064389D"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O.sativa</w:t>
            </w:r>
          </w:p>
        </w:tc>
        <w:tc>
          <w:tcPr>
            <w:tcW w:w="993" w:type="dxa"/>
            <w:tcBorders>
              <w:top w:val="single" w:sz="4" w:space="0" w:color="auto"/>
              <w:left w:val="single" w:sz="4" w:space="0" w:color="auto"/>
              <w:bottom w:val="single" w:sz="4" w:space="0" w:color="auto"/>
              <w:right w:val="single" w:sz="4" w:space="0" w:color="auto"/>
            </w:tcBorders>
            <w:vAlign w:val="center"/>
          </w:tcPr>
          <w:p w14:paraId="2064389E" w14:textId="77777777" w:rsidR="00333AC0" w:rsidRPr="007C0D8A" w:rsidRDefault="00333AC0" w:rsidP="00011A0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9F" w14:textId="77777777" w:rsidR="00333AC0" w:rsidRPr="007C0D8A"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Glutelin promoter (GenBank # D00584)</w:t>
            </w:r>
          </w:p>
          <w:p w14:paraId="206438A0" w14:textId="77777777" w:rsidR="00333AC0" w:rsidRPr="007C0D8A"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 xml:space="preserve">Targets expression  of </w:t>
            </w:r>
            <w:r w:rsidRPr="007C0D8A">
              <w:rPr>
                <w:rFonts w:eastAsia="Batang" w:cs="Arial"/>
                <w:i/>
                <w:iCs/>
                <w:color w:val="000000" w:themeColor="text1"/>
                <w:sz w:val="16"/>
                <w:szCs w:val="16"/>
                <w:lang w:val="en-AU" w:bidi="ar-SA"/>
              </w:rPr>
              <w:t xml:space="preserve">crtI </w:t>
            </w:r>
            <w:r w:rsidRPr="007C0D8A">
              <w:rPr>
                <w:rFonts w:eastAsia="Batang" w:cs="Arial"/>
                <w:iCs/>
                <w:color w:val="000000" w:themeColor="text1"/>
                <w:sz w:val="16"/>
                <w:szCs w:val="16"/>
                <w:lang w:val="en-AU" w:bidi="ar-SA"/>
              </w:rPr>
              <w:t>to the endosperm</w:t>
            </w:r>
          </w:p>
          <w:p w14:paraId="206438A1" w14:textId="77777777" w:rsidR="00333AC0" w:rsidRPr="007C0D8A"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 xml:space="preserve">Directs transcription of the </w:t>
            </w:r>
            <w:r w:rsidRPr="007C0D8A">
              <w:rPr>
                <w:rFonts w:eastAsia="Batang" w:cs="Arial"/>
                <w:i/>
                <w:iCs/>
                <w:color w:val="000000" w:themeColor="text1"/>
                <w:sz w:val="16"/>
                <w:szCs w:val="16"/>
                <w:lang w:val="en-AU" w:bidi="ar-SA"/>
              </w:rPr>
              <w:t>crtI</w:t>
            </w:r>
            <w:r w:rsidRPr="007C0D8A">
              <w:rPr>
                <w:rFonts w:eastAsia="Batang" w:cs="Arial"/>
                <w:iCs/>
                <w:color w:val="000000" w:themeColor="text1"/>
                <w:sz w:val="16"/>
                <w:szCs w:val="16"/>
                <w:lang w:val="en-AU" w:bidi="ar-SA"/>
              </w:rPr>
              <w:t xml:space="preserve"> gene</w:t>
            </w:r>
          </w:p>
        </w:tc>
        <w:tc>
          <w:tcPr>
            <w:tcW w:w="1559" w:type="dxa"/>
            <w:tcBorders>
              <w:top w:val="single" w:sz="4" w:space="0" w:color="auto"/>
              <w:left w:val="single" w:sz="4" w:space="0" w:color="auto"/>
              <w:bottom w:val="single" w:sz="4" w:space="0" w:color="auto"/>
              <w:right w:val="single" w:sz="4" w:space="0" w:color="auto"/>
            </w:tcBorders>
            <w:vAlign w:val="center"/>
          </w:tcPr>
          <w:p w14:paraId="206438A2" w14:textId="77777777" w:rsidR="00333AC0" w:rsidRPr="007C0D8A" w:rsidRDefault="00333AC0" w:rsidP="00011A05">
            <w:pPr>
              <w:widowControl/>
              <w:jc w:val="center"/>
              <w:rPr>
                <w:rFonts w:eastAsia="Batang" w:cs="Arial"/>
                <w:iCs/>
                <w:color w:val="000000" w:themeColor="text1"/>
                <w:sz w:val="16"/>
                <w:szCs w:val="16"/>
                <w:lang w:val="en-AU" w:bidi="ar-SA"/>
              </w:rPr>
            </w:pPr>
            <w:r w:rsidRPr="00B22D43">
              <w:rPr>
                <w:rFonts w:eastAsia="Batang" w:cs="Arial"/>
                <w:iCs/>
                <w:color w:val="000000" w:themeColor="text1"/>
                <w:sz w:val="16"/>
                <w:szCs w:val="16"/>
                <w:lang w:val="en-AU" w:bidi="ar-SA"/>
              </w:rPr>
              <w:t xml:space="preserve">Takaiwa et al. </w:t>
            </w:r>
            <w:r w:rsidRPr="00B22D43">
              <w:rPr>
                <w:rFonts w:eastAsia="Batang" w:cs="Arial"/>
                <w:iCs/>
                <w:noProof/>
                <w:color w:val="000000" w:themeColor="text1"/>
                <w:sz w:val="16"/>
                <w:szCs w:val="16"/>
                <w:lang w:val="en-AU" w:bidi="ar-SA"/>
              </w:rPr>
              <w:t>(1987)</w:t>
            </w:r>
          </w:p>
        </w:tc>
      </w:tr>
      <w:tr w:rsidR="00333AC0" w:rsidRPr="00E308F0" w14:paraId="206438AB"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A4"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8A5"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1048 – 1086</w:t>
            </w:r>
          </w:p>
        </w:tc>
        <w:tc>
          <w:tcPr>
            <w:tcW w:w="709" w:type="dxa"/>
            <w:tcBorders>
              <w:top w:val="single" w:sz="4" w:space="0" w:color="auto"/>
              <w:left w:val="single" w:sz="4" w:space="0" w:color="auto"/>
              <w:bottom w:val="single" w:sz="4" w:space="0" w:color="auto"/>
              <w:right w:val="single" w:sz="4" w:space="0" w:color="auto"/>
            </w:tcBorders>
            <w:vAlign w:val="center"/>
          </w:tcPr>
          <w:p w14:paraId="206438A6"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39</w:t>
            </w:r>
          </w:p>
        </w:tc>
        <w:tc>
          <w:tcPr>
            <w:tcW w:w="1417" w:type="dxa"/>
            <w:tcBorders>
              <w:top w:val="single" w:sz="4" w:space="0" w:color="auto"/>
              <w:left w:val="single" w:sz="4" w:space="0" w:color="auto"/>
              <w:bottom w:val="single" w:sz="4" w:space="0" w:color="auto"/>
              <w:right w:val="single" w:sz="4" w:space="0" w:color="auto"/>
            </w:tcBorders>
            <w:vAlign w:val="center"/>
          </w:tcPr>
          <w:p w14:paraId="206438A7" w14:textId="77777777" w:rsidR="00333AC0" w:rsidRPr="007C0D8A"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8A8" w14:textId="77777777" w:rsidR="00333AC0" w:rsidRPr="007C0D8A" w:rsidRDefault="00333AC0" w:rsidP="00011A05">
            <w:pPr>
              <w:autoSpaceDE w:val="0"/>
              <w:autoSpaceDN w:val="0"/>
              <w:adjustRightInd w:val="0"/>
              <w:jc w:val="center"/>
              <w:rPr>
                <w:rFonts w:eastAsiaTheme="minorHAnsi" w:cs="Arial"/>
                <w:color w:val="000000" w:themeColor="text1"/>
                <w:sz w:val="16"/>
                <w:szCs w:val="16"/>
                <w:lang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8A9" w14:textId="77777777" w:rsidR="00333AC0" w:rsidRPr="007C0D8A" w:rsidRDefault="00333AC0" w:rsidP="00011A05">
            <w:pPr>
              <w:autoSpaceDE w:val="0"/>
              <w:autoSpaceDN w:val="0"/>
              <w:adjustRightInd w:val="0"/>
              <w:jc w:val="center"/>
              <w:rPr>
                <w:rFonts w:eastAsiaTheme="minorHAnsi" w:cs="Arial"/>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06438AA" w14:textId="77777777" w:rsidR="00333AC0" w:rsidRPr="007C0D8A" w:rsidRDefault="00333AC0" w:rsidP="00011A05">
            <w:pPr>
              <w:autoSpaceDE w:val="0"/>
              <w:autoSpaceDN w:val="0"/>
              <w:adjustRightInd w:val="0"/>
              <w:jc w:val="center"/>
              <w:rPr>
                <w:rFonts w:eastAsiaTheme="minorHAnsi" w:cs="Arial"/>
                <w:color w:val="000000" w:themeColor="text1"/>
                <w:sz w:val="16"/>
                <w:szCs w:val="16"/>
                <w:lang w:bidi="ar-SA"/>
              </w:rPr>
            </w:pPr>
          </w:p>
        </w:tc>
      </w:tr>
      <w:tr w:rsidR="00333AC0" w:rsidRPr="00E308F0" w14:paraId="206438B4"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AC" w14:textId="77777777" w:rsidR="00333AC0" w:rsidRPr="00FE4973" w:rsidRDefault="00333AC0" w:rsidP="00011A05">
            <w:pPr>
              <w:widowControl/>
              <w:jc w:val="center"/>
              <w:rPr>
                <w:rFonts w:eastAsia="Batang" w:cs="Arial"/>
                <w:i/>
                <w:iCs/>
                <w:color w:val="000000" w:themeColor="text1"/>
                <w:sz w:val="16"/>
                <w:szCs w:val="16"/>
                <w:lang w:val="en-AU" w:bidi="ar-SA"/>
              </w:rPr>
            </w:pPr>
            <w:r w:rsidRPr="00FE4973">
              <w:rPr>
                <w:rFonts w:eastAsia="Batang" w:cs="Arial"/>
                <w:i/>
                <w:iCs/>
                <w:color w:val="000000" w:themeColor="text1"/>
                <w:sz w:val="16"/>
                <w:szCs w:val="16"/>
                <w:lang w:val="en-AU" w:bidi="ar-SA"/>
              </w:rPr>
              <w:t>pSSU</w:t>
            </w:r>
          </w:p>
        </w:tc>
        <w:tc>
          <w:tcPr>
            <w:tcW w:w="1276" w:type="dxa"/>
            <w:tcBorders>
              <w:top w:val="single" w:sz="4" w:space="0" w:color="auto"/>
              <w:left w:val="single" w:sz="4" w:space="0" w:color="auto"/>
              <w:bottom w:val="single" w:sz="4" w:space="0" w:color="auto"/>
              <w:right w:val="single" w:sz="4" w:space="0" w:color="auto"/>
            </w:tcBorders>
            <w:vAlign w:val="center"/>
          </w:tcPr>
          <w:p w14:paraId="206438AD"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1087 - 1257</w:t>
            </w:r>
          </w:p>
        </w:tc>
        <w:tc>
          <w:tcPr>
            <w:tcW w:w="709" w:type="dxa"/>
            <w:tcBorders>
              <w:top w:val="single" w:sz="4" w:space="0" w:color="auto"/>
              <w:left w:val="single" w:sz="4" w:space="0" w:color="auto"/>
              <w:bottom w:val="single" w:sz="4" w:space="0" w:color="auto"/>
              <w:right w:val="single" w:sz="4" w:space="0" w:color="auto"/>
            </w:tcBorders>
            <w:vAlign w:val="center"/>
          </w:tcPr>
          <w:p w14:paraId="206438AE"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171</w:t>
            </w:r>
          </w:p>
        </w:tc>
        <w:tc>
          <w:tcPr>
            <w:tcW w:w="1417" w:type="dxa"/>
            <w:tcBorders>
              <w:top w:val="single" w:sz="4" w:space="0" w:color="auto"/>
              <w:left w:val="single" w:sz="4" w:space="0" w:color="auto"/>
              <w:bottom w:val="single" w:sz="4" w:space="0" w:color="auto"/>
              <w:right w:val="single" w:sz="4" w:space="0" w:color="auto"/>
            </w:tcBorders>
            <w:vAlign w:val="center"/>
          </w:tcPr>
          <w:p w14:paraId="206438AF"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 xml:space="preserve">Pisum sativum </w:t>
            </w:r>
            <w:r w:rsidRPr="007C0D8A">
              <w:rPr>
                <w:rFonts w:eastAsia="Batang" w:cs="Arial"/>
                <w:iCs/>
                <w:color w:val="000000" w:themeColor="text1"/>
                <w:sz w:val="16"/>
                <w:szCs w:val="16"/>
                <w:lang w:val="en-AU" w:bidi="ar-SA"/>
              </w:rPr>
              <w:t>(pea)</w:t>
            </w:r>
          </w:p>
        </w:tc>
        <w:tc>
          <w:tcPr>
            <w:tcW w:w="993" w:type="dxa"/>
            <w:tcBorders>
              <w:top w:val="single" w:sz="4" w:space="0" w:color="auto"/>
              <w:left w:val="single" w:sz="4" w:space="0" w:color="auto"/>
              <w:bottom w:val="single" w:sz="4" w:space="0" w:color="auto"/>
              <w:right w:val="single" w:sz="4" w:space="0" w:color="auto"/>
            </w:tcBorders>
            <w:vAlign w:val="center"/>
          </w:tcPr>
          <w:p w14:paraId="206438B0" w14:textId="77777777" w:rsidR="00333AC0" w:rsidRPr="007C0D8A" w:rsidRDefault="00333AC0" w:rsidP="00011A05">
            <w:pPr>
              <w:widowControl/>
              <w:jc w:val="center"/>
              <w:rPr>
                <w:rFonts w:eastAsia="Batang" w:cs="Arial"/>
                <w:iCs/>
                <w:color w:val="000000" w:themeColor="text1"/>
                <w:sz w:val="16"/>
                <w:szCs w:val="16"/>
                <w:lang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B1" w14:textId="77777777" w:rsidR="00333AC0" w:rsidRPr="007C0D8A" w:rsidRDefault="00333AC0" w:rsidP="0022311E">
            <w:pPr>
              <w:pStyle w:val="ListParagraph"/>
              <w:widowControl/>
              <w:numPr>
                <w:ilvl w:val="0"/>
                <w:numId w:val="6"/>
              </w:numPr>
              <w:ind w:left="175" w:hanging="142"/>
              <w:rPr>
                <w:rFonts w:eastAsia="Batang" w:cs="Arial"/>
                <w:iCs/>
                <w:color w:val="000000" w:themeColor="text1"/>
                <w:sz w:val="16"/>
                <w:szCs w:val="16"/>
                <w:lang w:val="en-AU" w:bidi="ar-SA"/>
              </w:rPr>
            </w:pPr>
            <w:r w:rsidRPr="007C0D8A">
              <w:rPr>
                <w:rFonts w:eastAsia="Batang" w:cs="Arial"/>
                <w:iCs/>
                <w:color w:val="000000" w:themeColor="text1"/>
                <w:sz w:val="16"/>
                <w:szCs w:val="16"/>
                <w:lang w:bidi="ar-SA"/>
              </w:rPr>
              <w:t>RUBISCO SSU transit peptide (GenBank # X00806)</w:t>
            </w:r>
          </w:p>
          <w:p w14:paraId="206438B2" w14:textId="77777777" w:rsidR="00333AC0" w:rsidRPr="007C0D8A" w:rsidRDefault="00333AC0" w:rsidP="0022311E">
            <w:pPr>
              <w:pStyle w:val="ListParagraph"/>
              <w:widowControl/>
              <w:numPr>
                <w:ilvl w:val="0"/>
                <w:numId w:val="6"/>
              </w:numPr>
              <w:ind w:left="175" w:hanging="142"/>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 xml:space="preserve">Directs transport of CRTI to the plastids where the GGPP precursor is formed (see </w:t>
            </w:r>
            <w:r w:rsidRPr="00B275D4">
              <w:rPr>
                <w:rFonts w:eastAsia="Batang" w:cs="Arial"/>
                <w:iCs/>
                <w:color w:val="000000" w:themeColor="text1"/>
                <w:sz w:val="16"/>
                <w:szCs w:val="16"/>
                <w:lang w:val="en-AU" w:bidi="ar-SA"/>
              </w:rPr>
              <w:t>Figure 7)</w:t>
            </w:r>
          </w:p>
        </w:tc>
        <w:tc>
          <w:tcPr>
            <w:tcW w:w="1559" w:type="dxa"/>
            <w:tcBorders>
              <w:top w:val="single" w:sz="4" w:space="0" w:color="auto"/>
              <w:left w:val="single" w:sz="4" w:space="0" w:color="auto"/>
              <w:bottom w:val="single" w:sz="4" w:space="0" w:color="auto"/>
              <w:right w:val="single" w:sz="4" w:space="0" w:color="auto"/>
            </w:tcBorders>
            <w:vAlign w:val="center"/>
          </w:tcPr>
          <w:p w14:paraId="206438B3" w14:textId="77777777" w:rsidR="00333AC0" w:rsidRPr="007C0D8A" w:rsidRDefault="00333AC0" w:rsidP="00011A05">
            <w:pPr>
              <w:widowControl/>
              <w:jc w:val="center"/>
              <w:rPr>
                <w:rFonts w:eastAsia="Batang" w:cs="Arial"/>
                <w:iCs/>
                <w:color w:val="000000" w:themeColor="text1"/>
                <w:sz w:val="16"/>
                <w:szCs w:val="16"/>
                <w:lang w:bidi="ar-SA"/>
              </w:rPr>
            </w:pPr>
            <w:r w:rsidRPr="00B22D43">
              <w:rPr>
                <w:rFonts w:eastAsia="Batang" w:cs="Arial"/>
                <w:iCs/>
                <w:color w:val="000000" w:themeColor="text1"/>
                <w:sz w:val="16"/>
                <w:szCs w:val="16"/>
                <w:lang w:bidi="ar-SA"/>
              </w:rPr>
              <w:t xml:space="preserve">Coruzzi et al. </w:t>
            </w:r>
            <w:r w:rsidRPr="00B22D43">
              <w:rPr>
                <w:rFonts w:eastAsia="Batang" w:cs="Arial"/>
                <w:iCs/>
                <w:noProof/>
                <w:color w:val="000000" w:themeColor="text1"/>
                <w:sz w:val="16"/>
                <w:szCs w:val="16"/>
                <w:lang w:bidi="ar-SA"/>
              </w:rPr>
              <w:t>(1984)</w:t>
            </w:r>
            <w:r w:rsidRPr="00B22D43">
              <w:rPr>
                <w:rFonts w:eastAsia="Batang" w:cs="Arial"/>
                <w:iCs/>
                <w:color w:val="000000" w:themeColor="text1"/>
                <w:sz w:val="16"/>
                <w:szCs w:val="16"/>
                <w:lang w:bidi="ar-SA"/>
              </w:rPr>
              <w:t xml:space="preserve">; Beyer et al </w:t>
            </w:r>
            <w:r>
              <w:rPr>
                <w:rFonts w:eastAsia="Batang" w:cs="Arial"/>
                <w:iCs/>
                <w:noProof/>
                <w:color w:val="000000" w:themeColor="text1"/>
                <w:sz w:val="16"/>
                <w:szCs w:val="16"/>
                <w:lang w:bidi="ar-SA"/>
              </w:rPr>
              <w:t>(2002)</w:t>
            </w:r>
          </w:p>
        </w:tc>
      </w:tr>
      <w:tr w:rsidR="00333AC0" w:rsidRPr="00E308F0" w14:paraId="206438BC"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B5"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crtI</w:t>
            </w:r>
          </w:p>
        </w:tc>
        <w:tc>
          <w:tcPr>
            <w:tcW w:w="1276" w:type="dxa"/>
            <w:tcBorders>
              <w:top w:val="single" w:sz="4" w:space="0" w:color="auto"/>
              <w:left w:val="single" w:sz="4" w:space="0" w:color="auto"/>
              <w:bottom w:val="single" w:sz="4" w:space="0" w:color="auto"/>
              <w:right w:val="single" w:sz="4" w:space="0" w:color="auto"/>
            </w:tcBorders>
            <w:vAlign w:val="center"/>
          </w:tcPr>
          <w:p w14:paraId="206438B6"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1258 - 2736</w:t>
            </w:r>
          </w:p>
        </w:tc>
        <w:tc>
          <w:tcPr>
            <w:tcW w:w="709" w:type="dxa"/>
            <w:tcBorders>
              <w:top w:val="single" w:sz="4" w:space="0" w:color="auto"/>
              <w:left w:val="single" w:sz="4" w:space="0" w:color="auto"/>
              <w:bottom w:val="single" w:sz="4" w:space="0" w:color="auto"/>
              <w:right w:val="single" w:sz="4" w:space="0" w:color="auto"/>
            </w:tcBorders>
            <w:vAlign w:val="center"/>
          </w:tcPr>
          <w:p w14:paraId="206438B7"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1479</w:t>
            </w:r>
          </w:p>
        </w:tc>
        <w:tc>
          <w:tcPr>
            <w:tcW w:w="1417" w:type="dxa"/>
            <w:tcBorders>
              <w:top w:val="single" w:sz="4" w:space="0" w:color="auto"/>
              <w:left w:val="single" w:sz="4" w:space="0" w:color="auto"/>
              <w:bottom w:val="single" w:sz="4" w:space="0" w:color="auto"/>
              <w:right w:val="single" w:sz="4" w:space="0" w:color="auto"/>
            </w:tcBorders>
            <w:vAlign w:val="center"/>
          </w:tcPr>
          <w:p w14:paraId="206438B8"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P. ananatis</w:t>
            </w:r>
          </w:p>
        </w:tc>
        <w:tc>
          <w:tcPr>
            <w:tcW w:w="993" w:type="dxa"/>
            <w:tcBorders>
              <w:top w:val="single" w:sz="4" w:space="0" w:color="auto"/>
              <w:left w:val="single" w:sz="4" w:space="0" w:color="auto"/>
              <w:bottom w:val="single" w:sz="4" w:space="0" w:color="auto"/>
              <w:right w:val="single" w:sz="4" w:space="0" w:color="auto"/>
            </w:tcBorders>
            <w:vAlign w:val="center"/>
          </w:tcPr>
          <w:p w14:paraId="206438B9" w14:textId="77777777" w:rsidR="00333AC0" w:rsidRPr="007C0D8A"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BA" w14:textId="77777777" w:rsidR="00333AC0" w:rsidRPr="007C0D8A" w:rsidRDefault="00333AC0" w:rsidP="0022311E">
            <w:pPr>
              <w:pStyle w:val="ListParagraph"/>
              <w:widowControl/>
              <w:numPr>
                <w:ilvl w:val="0"/>
                <w:numId w:val="7"/>
              </w:numPr>
              <w:ind w:left="175" w:hanging="175"/>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Coding sequence of the </w:t>
            </w:r>
            <w:r w:rsidRPr="009F1211">
              <w:rPr>
                <w:rFonts w:eastAsia="Batang" w:cs="Arial"/>
                <w:i/>
                <w:iCs/>
                <w:color w:val="000000" w:themeColor="text1"/>
                <w:sz w:val="16"/>
                <w:szCs w:val="16"/>
                <w:lang w:val="en-AU" w:bidi="ar-SA"/>
              </w:rPr>
              <w:t>carotene desaturase</w:t>
            </w:r>
            <w:r w:rsidRPr="007C0D8A">
              <w:rPr>
                <w:rFonts w:eastAsia="Batang" w:cs="Arial"/>
                <w:iCs/>
                <w:color w:val="000000" w:themeColor="text1"/>
                <w:sz w:val="16"/>
                <w:szCs w:val="16"/>
                <w:lang w:val="en-AU" w:bidi="ar-SA"/>
              </w:rPr>
              <w:t xml:space="preserve"> gene (GenBank # D90087)</w:t>
            </w:r>
          </w:p>
        </w:tc>
        <w:tc>
          <w:tcPr>
            <w:tcW w:w="1559" w:type="dxa"/>
            <w:tcBorders>
              <w:top w:val="single" w:sz="4" w:space="0" w:color="auto"/>
              <w:left w:val="single" w:sz="4" w:space="0" w:color="auto"/>
              <w:bottom w:val="single" w:sz="4" w:space="0" w:color="auto"/>
              <w:right w:val="single" w:sz="4" w:space="0" w:color="auto"/>
            </w:tcBorders>
            <w:vAlign w:val="center"/>
          </w:tcPr>
          <w:p w14:paraId="206438BB" w14:textId="77777777" w:rsidR="00333AC0" w:rsidRPr="007C0D8A" w:rsidRDefault="00333AC0" w:rsidP="00011A05">
            <w:pPr>
              <w:widowControl/>
              <w:ind w:left="34"/>
              <w:jc w:val="center"/>
              <w:rPr>
                <w:rFonts w:eastAsia="Batang" w:cs="Arial"/>
                <w:iCs/>
                <w:color w:val="000000" w:themeColor="text1"/>
                <w:sz w:val="16"/>
                <w:szCs w:val="16"/>
                <w:lang w:val="en-AU" w:bidi="ar-SA"/>
              </w:rPr>
            </w:pPr>
            <w:r w:rsidRPr="004E5DE6">
              <w:rPr>
                <w:rFonts w:eastAsia="Batang" w:cs="Arial"/>
                <w:iCs/>
                <w:color w:val="000000" w:themeColor="text1"/>
                <w:sz w:val="16"/>
                <w:szCs w:val="16"/>
                <w:lang w:val="en-AU" w:bidi="ar-SA"/>
              </w:rPr>
              <w:t xml:space="preserve">Misawa et al </w:t>
            </w:r>
            <w:r>
              <w:rPr>
                <w:rFonts w:eastAsia="Batang" w:cs="Arial"/>
                <w:iCs/>
                <w:noProof/>
                <w:color w:val="000000" w:themeColor="text1"/>
                <w:sz w:val="16"/>
                <w:szCs w:val="16"/>
                <w:lang w:val="en-AU" w:bidi="ar-SA"/>
              </w:rPr>
              <w:t>(1990)</w:t>
            </w:r>
          </w:p>
        </w:tc>
      </w:tr>
      <w:tr w:rsidR="00333AC0" w:rsidRPr="00E308F0" w14:paraId="206438C4"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BD"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8BE"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2737 - 2756</w:t>
            </w:r>
          </w:p>
        </w:tc>
        <w:tc>
          <w:tcPr>
            <w:tcW w:w="709" w:type="dxa"/>
            <w:tcBorders>
              <w:top w:val="single" w:sz="4" w:space="0" w:color="auto"/>
              <w:left w:val="single" w:sz="4" w:space="0" w:color="auto"/>
              <w:bottom w:val="single" w:sz="4" w:space="0" w:color="auto"/>
              <w:right w:val="single" w:sz="4" w:space="0" w:color="auto"/>
            </w:tcBorders>
            <w:vAlign w:val="center"/>
          </w:tcPr>
          <w:p w14:paraId="206438BF" w14:textId="77777777" w:rsidR="00333AC0" w:rsidRPr="007C0D8A" w:rsidRDefault="00333AC0" w:rsidP="00011A0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20</w:t>
            </w:r>
          </w:p>
        </w:tc>
        <w:tc>
          <w:tcPr>
            <w:tcW w:w="1417" w:type="dxa"/>
            <w:tcBorders>
              <w:top w:val="single" w:sz="4" w:space="0" w:color="auto"/>
              <w:left w:val="single" w:sz="4" w:space="0" w:color="auto"/>
              <w:bottom w:val="single" w:sz="4" w:space="0" w:color="auto"/>
              <w:right w:val="single" w:sz="4" w:space="0" w:color="auto"/>
            </w:tcBorders>
            <w:vAlign w:val="center"/>
          </w:tcPr>
          <w:p w14:paraId="206438C0" w14:textId="77777777" w:rsidR="00333AC0" w:rsidRPr="007C0D8A"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8C1" w14:textId="77777777" w:rsidR="00333AC0" w:rsidRPr="007C0D8A"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8C2" w14:textId="77777777" w:rsidR="00333AC0" w:rsidRPr="007C0D8A" w:rsidRDefault="00333AC0" w:rsidP="00011A05">
            <w:pPr>
              <w:widowControl/>
              <w:ind w:left="34"/>
              <w:jc w:val="center"/>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8C3" w14:textId="77777777" w:rsidR="00333AC0" w:rsidRPr="007C0D8A" w:rsidRDefault="00333AC0" w:rsidP="00011A05">
            <w:pPr>
              <w:widowControl/>
              <w:ind w:left="34"/>
              <w:jc w:val="center"/>
              <w:rPr>
                <w:rFonts w:eastAsia="Batang" w:cs="Arial"/>
                <w:iCs/>
                <w:color w:val="000000" w:themeColor="text1"/>
                <w:sz w:val="16"/>
                <w:szCs w:val="16"/>
                <w:lang w:val="en-AU" w:bidi="ar-SA"/>
              </w:rPr>
            </w:pPr>
          </w:p>
        </w:tc>
      </w:tr>
      <w:tr w:rsidR="00333AC0" w:rsidRPr="00E308F0" w14:paraId="206438CD"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C5" w14:textId="77777777" w:rsidR="00333AC0" w:rsidRPr="007C0D8A" w:rsidRDefault="00333AC0" w:rsidP="00011A05">
            <w:pPr>
              <w:widowControl/>
              <w:jc w:val="center"/>
              <w:rPr>
                <w:rFonts w:eastAsia="Batang" w:cs="Arial"/>
                <w:iCs/>
                <w:color w:val="000000" w:themeColor="text1"/>
                <w:sz w:val="16"/>
                <w:szCs w:val="16"/>
                <w:lang w:val="en-AU" w:bidi="ar-SA"/>
              </w:rPr>
            </w:pPr>
            <w:r w:rsidRPr="00FE4973">
              <w:rPr>
                <w:rFonts w:eastAsia="Batang" w:cs="Arial"/>
                <w:i/>
                <w:iCs/>
                <w:color w:val="000000" w:themeColor="text1"/>
                <w:sz w:val="16"/>
                <w:szCs w:val="16"/>
                <w:lang w:val="en-AU" w:bidi="ar-SA"/>
              </w:rPr>
              <w:t>NOS</w:t>
            </w:r>
            <w:r w:rsidRPr="007C0D8A">
              <w:rPr>
                <w:rFonts w:eastAsia="Batang" w:cs="Arial"/>
                <w:iCs/>
                <w:color w:val="000000" w:themeColor="text1"/>
                <w:sz w:val="16"/>
                <w:szCs w:val="16"/>
                <w:lang w:val="en-AU" w:bidi="ar-SA"/>
              </w:rPr>
              <w:t xml:space="preserve"> 3’</w:t>
            </w:r>
          </w:p>
        </w:tc>
        <w:tc>
          <w:tcPr>
            <w:tcW w:w="1276" w:type="dxa"/>
            <w:tcBorders>
              <w:top w:val="single" w:sz="4" w:space="0" w:color="auto"/>
              <w:left w:val="single" w:sz="4" w:space="0" w:color="auto"/>
              <w:bottom w:val="single" w:sz="4" w:space="0" w:color="auto"/>
              <w:right w:val="single" w:sz="4" w:space="0" w:color="auto"/>
            </w:tcBorders>
            <w:vAlign w:val="center"/>
          </w:tcPr>
          <w:p w14:paraId="206438C6"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2757 - 3009</w:t>
            </w:r>
          </w:p>
        </w:tc>
        <w:tc>
          <w:tcPr>
            <w:tcW w:w="709" w:type="dxa"/>
            <w:tcBorders>
              <w:top w:val="single" w:sz="4" w:space="0" w:color="auto"/>
              <w:left w:val="single" w:sz="4" w:space="0" w:color="auto"/>
              <w:bottom w:val="single" w:sz="4" w:space="0" w:color="auto"/>
              <w:right w:val="single" w:sz="4" w:space="0" w:color="auto"/>
            </w:tcBorders>
            <w:vAlign w:val="center"/>
          </w:tcPr>
          <w:p w14:paraId="206438C7"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253</w:t>
            </w:r>
          </w:p>
        </w:tc>
        <w:tc>
          <w:tcPr>
            <w:tcW w:w="1417" w:type="dxa"/>
            <w:tcBorders>
              <w:top w:val="single" w:sz="4" w:space="0" w:color="auto"/>
              <w:left w:val="single" w:sz="4" w:space="0" w:color="auto"/>
              <w:bottom w:val="single" w:sz="4" w:space="0" w:color="auto"/>
              <w:right w:val="single" w:sz="4" w:space="0" w:color="auto"/>
            </w:tcBorders>
            <w:vAlign w:val="center"/>
          </w:tcPr>
          <w:p w14:paraId="206438C8" w14:textId="77777777" w:rsidR="00333AC0" w:rsidRPr="007C0D8A" w:rsidRDefault="00333AC0" w:rsidP="00011A05">
            <w:pPr>
              <w:widowControl/>
              <w:jc w:val="center"/>
              <w:rPr>
                <w:rFonts w:eastAsia="Batang" w:cs="Arial"/>
                <w:i/>
                <w:iCs/>
                <w:color w:val="000000" w:themeColor="text1"/>
                <w:sz w:val="16"/>
                <w:szCs w:val="16"/>
                <w:lang w:val="en-AU" w:bidi="ar-SA"/>
              </w:rPr>
            </w:pPr>
            <w:r w:rsidRPr="007C0D8A">
              <w:rPr>
                <w:rFonts w:eastAsia="Batang" w:cs="Arial"/>
                <w:i/>
                <w:iCs/>
                <w:color w:val="000000" w:themeColor="text1"/>
                <w:sz w:val="16"/>
                <w:szCs w:val="16"/>
                <w:lang w:val="en-AU" w:bidi="ar-SA"/>
              </w:rPr>
              <w:t>Agrobacterium tumefaciens</w:t>
            </w:r>
          </w:p>
        </w:tc>
        <w:tc>
          <w:tcPr>
            <w:tcW w:w="993" w:type="dxa"/>
            <w:tcBorders>
              <w:top w:val="single" w:sz="4" w:space="0" w:color="auto"/>
              <w:left w:val="single" w:sz="4" w:space="0" w:color="auto"/>
              <w:bottom w:val="single" w:sz="4" w:space="0" w:color="auto"/>
              <w:right w:val="single" w:sz="4" w:space="0" w:color="auto"/>
            </w:tcBorders>
            <w:vAlign w:val="center"/>
          </w:tcPr>
          <w:p w14:paraId="206438C9" w14:textId="77777777" w:rsidR="00333AC0" w:rsidRPr="007C0D8A" w:rsidRDefault="00333AC0" w:rsidP="00011A05">
            <w:pPr>
              <w:widowControl/>
              <w:ind w:left="34"/>
              <w:jc w:val="center"/>
              <w:rPr>
                <w:rFonts w:eastAsia="Batang" w:cs="Arial"/>
                <w:iCs/>
                <w:color w:val="000000" w:themeColor="text1"/>
                <w:sz w:val="16"/>
                <w:szCs w:val="16"/>
                <w:lang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CA" w14:textId="77777777" w:rsidR="00333AC0" w:rsidRPr="007C0D8A" w:rsidRDefault="00333AC0" w:rsidP="0022311E">
            <w:pPr>
              <w:pStyle w:val="ListParagraph"/>
              <w:widowControl/>
              <w:numPr>
                <w:ilvl w:val="0"/>
                <w:numId w:val="7"/>
              </w:numPr>
              <w:ind w:left="175" w:hanging="142"/>
              <w:jc w:val="center"/>
              <w:rPr>
                <w:rFonts w:eastAsia="Batang" w:cs="Arial"/>
                <w:iCs/>
                <w:color w:val="000000" w:themeColor="text1"/>
                <w:sz w:val="16"/>
                <w:szCs w:val="16"/>
                <w:lang w:bidi="ar-SA"/>
              </w:rPr>
            </w:pPr>
            <w:r w:rsidRPr="007C0D8A">
              <w:rPr>
                <w:rFonts w:eastAsia="Batang" w:cs="Arial"/>
                <w:iCs/>
                <w:color w:val="000000" w:themeColor="text1"/>
                <w:sz w:val="16"/>
                <w:szCs w:val="16"/>
                <w:lang w:bidi="ar-SA"/>
              </w:rPr>
              <w:t xml:space="preserve">Terminator region from the </w:t>
            </w:r>
            <w:r w:rsidRPr="007C0D8A">
              <w:rPr>
                <w:rFonts w:eastAsia="Batang" w:cs="Arial"/>
                <w:i/>
                <w:iCs/>
                <w:color w:val="000000" w:themeColor="text1"/>
                <w:sz w:val="16"/>
                <w:szCs w:val="16"/>
                <w:lang w:bidi="ar-SA"/>
              </w:rPr>
              <w:t>nopaline synthase gene</w:t>
            </w:r>
            <w:r w:rsidRPr="007C0D8A">
              <w:rPr>
                <w:rFonts w:eastAsia="Batang" w:cs="Arial"/>
                <w:iCs/>
                <w:color w:val="000000" w:themeColor="text1"/>
                <w:sz w:val="16"/>
                <w:szCs w:val="16"/>
                <w:lang w:bidi="ar-SA"/>
              </w:rPr>
              <w:t xml:space="preserve"> (GenBank # V00087)</w:t>
            </w:r>
          </w:p>
          <w:p w14:paraId="206438CB" w14:textId="77777777" w:rsidR="00333AC0" w:rsidRPr="007C0D8A" w:rsidRDefault="00333AC0" w:rsidP="0022311E">
            <w:pPr>
              <w:pStyle w:val="ListParagraph"/>
              <w:widowControl/>
              <w:numPr>
                <w:ilvl w:val="0"/>
                <w:numId w:val="7"/>
              </w:numPr>
              <w:ind w:left="175" w:hanging="142"/>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bidi="ar-SA"/>
              </w:rPr>
              <w:t xml:space="preserve">Directs polyadenylation of the </w:t>
            </w:r>
            <w:r w:rsidRPr="007C0D8A">
              <w:rPr>
                <w:rFonts w:eastAsia="Batang" w:cs="Arial"/>
                <w:i/>
                <w:iCs/>
                <w:color w:val="000000" w:themeColor="text1"/>
                <w:sz w:val="16"/>
                <w:szCs w:val="16"/>
                <w:lang w:bidi="ar-SA"/>
              </w:rPr>
              <w:t>crtI</w:t>
            </w:r>
            <w:r w:rsidRPr="007C0D8A">
              <w:rPr>
                <w:rFonts w:eastAsia="Batang" w:cs="Arial"/>
                <w:iCs/>
                <w:color w:val="000000" w:themeColor="text1"/>
                <w:sz w:val="16"/>
                <w:szCs w:val="16"/>
                <w:lang w:bidi="ar-SA"/>
              </w:rPr>
              <w:t xml:space="preserve"> gene</w:t>
            </w:r>
          </w:p>
        </w:tc>
        <w:tc>
          <w:tcPr>
            <w:tcW w:w="1559" w:type="dxa"/>
            <w:tcBorders>
              <w:top w:val="single" w:sz="4" w:space="0" w:color="auto"/>
              <w:left w:val="single" w:sz="4" w:space="0" w:color="auto"/>
              <w:bottom w:val="single" w:sz="4" w:space="0" w:color="auto"/>
              <w:right w:val="single" w:sz="4" w:space="0" w:color="auto"/>
            </w:tcBorders>
            <w:vAlign w:val="center"/>
          </w:tcPr>
          <w:p w14:paraId="206438CC" w14:textId="77777777" w:rsidR="00333AC0" w:rsidRPr="007C0D8A" w:rsidRDefault="00333AC0" w:rsidP="00011A05">
            <w:pPr>
              <w:widowControl/>
              <w:ind w:left="34"/>
              <w:jc w:val="center"/>
              <w:rPr>
                <w:rFonts w:eastAsia="Batang" w:cs="Arial"/>
                <w:iCs/>
                <w:color w:val="000000" w:themeColor="text1"/>
                <w:sz w:val="16"/>
                <w:szCs w:val="16"/>
                <w:lang w:bidi="ar-SA"/>
              </w:rPr>
            </w:pPr>
            <w:r>
              <w:rPr>
                <w:rFonts w:eastAsia="Batang" w:cs="Arial"/>
                <w:iCs/>
                <w:color w:val="000000" w:themeColor="text1"/>
                <w:sz w:val="16"/>
                <w:szCs w:val="16"/>
                <w:lang w:bidi="ar-SA"/>
              </w:rPr>
              <w:t xml:space="preserve">Depicker et al </w:t>
            </w:r>
            <w:r>
              <w:rPr>
                <w:rFonts w:eastAsia="Batang" w:cs="Arial"/>
                <w:iCs/>
                <w:noProof/>
                <w:color w:val="000000" w:themeColor="text1"/>
                <w:sz w:val="16"/>
                <w:szCs w:val="16"/>
                <w:lang w:bidi="ar-SA"/>
              </w:rPr>
              <w:t>(1982)</w:t>
            </w:r>
          </w:p>
        </w:tc>
      </w:tr>
      <w:tr w:rsidR="00333AC0" w:rsidRPr="00E308F0" w14:paraId="206438D5"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CE"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8CF"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3010 - 3025</w:t>
            </w:r>
          </w:p>
        </w:tc>
        <w:tc>
          <w:tcPr>
            <w:tcW w:w="709" w:type="dxa"/>
            <w:tcBorders>
              <w:top w:val="single" w:sz="4" w:space="0" w:color="auto"/>
              <w:left w:val="single" w:sz="4" w:space="0" w:color="auto"/>
              <w:bottom w:val="single" w:sz="4" w:space="0" w:color="auto"/>
              <w:right w:val="single" w:sz="4" w:space="0" w:color="auto"/>
            </w:tcBorders>
            <w:vAlign w:val="center"/>
          </w:tcPr>
          <w:p w14:paraId="206438D0" w14:textId="77777777" w:rsidR="00333AC0" w:rsidRPr="007C0D8A" w:rsidRDefault="00333AC0" w:rsidP="00011A05">
            <w:pPr>
              <w:widowControl/>
              <w:jc w:val="center"/>
              <w:rPr>
                <w:rFonts w:eastAsia="Batang" w:cs="Arial"/>
                <w:iCs/>
                <w:color w:val="000000" w:themeColor="text1"/>
                <w:sz w:val="16"/>
                <w:szCs w:val="16"/>
                <w:lang w:val="en-AU" w:bidi="ar-SA"/>
              </w:rPr>
            </w:pPr>
            <w:r w:rsidRPr="007C0D8A">
              <w:rPr>
                <w:rFonts w:eastAsia="Batang" w:cs="Arial"/>
                <w:iCs/>
                <w:color w:val="000000" w:themeColor="text1"/>
                <w:sz w:val="16"/>
                <w:szCs w:val="16"/>
                <w:lang w:val="en-AU" w:bidi="ar-SA"/>
              </w:rPr>
              <w:t>16</w:t>
            </w:r>
          </w:p>
        </w:tc>
        <w:tc>
          <w:tcPr>
            <w:tcW w:w="1417" w:type="dxa"/>
            <w:tcBorders>
              <w:top w:val="single" w:sz="4" w:space="0" w:color="auto"/>
              <w:left w:val="single" w:sz="4" w:space="0" w:color="auto"/>
              <w:bottom w:val="single" w:sz="4" w:space="0" w:color="auto"/>
              <w:right w:val="single" w:sz="4" w:space="0" w:color="auto"/>
            </w:tcBorders>
            <w:vAlign w:val="center"/>
          </w:tcPr>
          <w:p w14:paraId="206438D1" w14:textId="77777777" w:rsidR="00333AC0" w:rsidRPr="007C0D8A"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8D2" w14:textId="77777777" w:rsidR="00333AC0" w:rsidRPr="007C0D8A"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8D3" w14:textId="77777777" w:rsidR="00333AC0" w:rsidRPr="007C0D8A" w:rsidRDefault="00333AC0" w:rsidP="00011A05">
            <w:pPr>
              <w:widowControl/>
              <w:ind w:left="34"/>
              <w:jc w:val="center"/>
              <w:rPr>
                <w:rFonts w:eastAsia="Batang" w:cs="Arial"/>
                <w:iCs/>
                <w:color w:val="000000" w:themeColor="text1"/>
                <w:sz w:val="16"/>
                <w:szCs w:val="16"/>
                <w:lang w:bidi="ar-SA"/>
              </w:rPr>
            </w:pPr>
            <w:r w:rsidRPr="007C0D8A">
              <w:rPr>
                <w:rFonts w:eastAsia="Batang" w:cs="Arial"/>
                <w:iCs/>
                <w:color w:val="000000" w:themeColor="text1"/>
                <w:sz w:val="16"/>
                <w:szCs w:val="16"/>
                <w:lang w:val="en-AU" w:bidi="ar-SA"/>
              </w:rPr>
              <w:t>Sequence used for DNA cloning</w:t>
            </w:r>
          </w:p>
        </w:tc>
        <w:tc>
          <w:tcPr>
            <w:tcW w:w="1559" w:type="dxa"/>
            <w:tcBorders>
              <w:top w:val="single" w:sz="4" w:space="0" w:color="auto"/>
              <w:left w:val="single" w:sz="4" w:space="0" w:color="auto"/>
              <w:bottom w:val="single" w:sz="4" w:space="0" w:color="auto"/>
              <w:right w:val="single" w:sz="4" w:space="0" w:color="auto"/>
            </w:tcBorders>
            <w:vAlign w:val="center"/>
          </w:tcPr>
          <w:p w14:paraId="206438D4" w14:textId="77777777" w:rsidR="00333AC0" w:rsidRPr="007C0D8A" w:rsidRDefault="00333AC0" w:rsidP="00011A05">
            <w:pPr>
              <w:widowControl/>
              <w:ind w:left="34"/>
              <w:jc w:val="center"/>
              <w:rPr>
                <w:rFonts w:eastAsia="Batang" w:cs="Arial"/>
                <w:iCs/>
                <w:color w:val="000000" w:themeColor="text1"/>
                <w:sz w:val="16"/>
                <w:szCs w:val="16"/>
                <w:lang w:val="en-AU" w:bidi="ar-SA"/>
              </w:rPr>
            </w:pPr>
          </w:p>
        </w:tc>
      </w:tr>
      <w:tr w:rsidR="00333AC0" w:rsidRPr="00E308F0" w14:paraId="206438D7" w14:textId="77777777" w:rsidTr="00011A05">
        <w:trPr>
          <w:trHeight w:val="624"/>
        </w:trPr>
        <w:tc>
          <w:tcPr>
            <w:tcW w:w="9322" w:type="dxa"/>
            <w:gridSpan w:val="7"/>
            <w:tcBorders>
              <w:top w:val="single" w:sz="4" w:space="0" w:color="auto"/>
              <w:left w:val="single" w:sz="4" w:space="0" w:color="auto"/>
              <w:bottom w:val="single" w:sz="4" w:space="0" w:color="auto"/>
              <w:right w:val="single" w:sz="4" w:space="0" w:color="auto"/>
            </w:tcBorders>
            <w:shd w:val="clear" w:color="auto" w:fill="FFFF99"/>
            <w:vAlign w:val="center"/>
          </w:tcPr>
          <w:p w14:paraId="206438D6" w14:textId="77777777" w:rsidR="00333AC0" w:rsidRPr="00FE4973" w:rsidRDefault="00333AC0" w:rsidP="00011A05">
            <w:pPr>
              <w:widowControl/>
              <w:ind w:left="34"/>
              <w:rPr>
                <w:rFonts w:eastAsia="Batang" w:cs="Arial"/>
                <w:b/>
                <w:iCs/>
                <w:color w:val="000000" w:themeColor="text1"/>
                <w:sz w:val="16"/>
                <w:szCs w:val="16"/>
                <w:lang w:val="en-AU" w:bidi="ar-SA"/>
              </w:rPr>
            </w:pPr>
            <w:r w:rsidRPr="00FE4973">
              <w:rPr>
                <w:rFonts w:eastAsia="Batang" w:cs="Arial"/>
                <w:b/>
                <w:i/>
                <w:iCs/>
                <w:color w:val="000000" w:themeColor="text1"/>
                <w:sz w:val="16"/>
                <w:szCs w:val="16"/>
                <w:lang w:val="en-AU" w:bidi="ar-SA"/>
              </w:rPr>
              <w:t>psy1</w:t>
            </w:r>
            <w:r w:rsidRPr="00FE4973">
              <w:rPr>
                <w:rFonts w:eastAsia="Batang" w:cs="Arial"/>
                <w:b/>
                <w:iCs/>
                <w:color w:val="000000" w:themeColor="text1"/>
                <w:sz w:val="16"/>
                <w:szCs w:val="16"/>
                <w:lang w:val="en-AU" w:bidi="ar-SA"/>
              </w:rPr>
              <w:t xml:space="preserve"> cassette</w:t>
            </w:r>
          </w:p>
        </w:tc>
      </w:tr>
      <w:tr w:rsidR="00333AC0" w:rsidRPr="00E308F0" w14:paraId="206438E2"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D8"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
                <w:iCs/>
                <w:color w:val="000000" w:themeColor="text1"/>
                <w:sz w:val="16"/>
                <w:szCs w:val="16"/>
                <w:lang w:val="en-AU" w:bidi="ar-SA"/>
              </w:rPr>
              <w:t>GluA-2</w:t>
            </w:r>
          </w:p>
        </w:tc>
        <w:tc>
          <w:tcPr>
            <w:tcW w:w="1276" w:type="dxa"/>
            <w:tcBorders>
              <w:top w:val="single" w:sz="4" w:space="0" w:color="auto"/>
              <w:left w:val="single" w:sz="4" w:space="0" w:color="auto"/>
              <w:bottom w:val="single" w:sz="4" w:space="0" w:color="auto"/>
              <w:right w:val="single" w:sz="4" w:space="0" w:color="auto"/>
            </w:tcBorders>
            <w:vAlign w:val="center"/>
          </w:tcPr>
          <w:p w14:paraId="206438D9"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3026 - 3853</w:t>
            </w:r>
          </w:p>
        </w:tc>
        <w:tc>
          <w:tcPr>
            <w:tcW w:w="709" w:type="dxa"/>
            <w:tcBorders>
              <w:top w:val="single" w:sz="4" w:space="0" w:color="auto"/>
              <w:left w:val="single" w:sz="4" w:space="0" w:color="auto"/>
              <w:bottom w:val="single" w:sz="4" w:space="0" w:color="auto"/>
              <w:right w:val="single" w:sz="4" w:space="0" w:color="auto"/>
            </w:tcBorders>
            <w:vAlign w:val="center"/>
          </w:tcPr>
          <w:p w14:paraId="206438DA"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828</w:t>
            </w:r>
          </w:p>
        </w:tc>
        <w:tc>
          <w:tcPr>
            <w:tcW w:w="1417" w:type="dxa"/>
            <w:tcBorders>
              <w:top w:val="single" w:sz="4" w:space="0" w:color="auto"/>
              <w:left w:val="single" w:sz="4" w:space="0" w:color="auto"/>
              <w:bottom w:val="single" w:sz="4" w:space="0" w:color="auto"/>
              <w:right w:val="single" w:sz="4" w:space="0" w:color="auto"/>
            </w:tcBorders>
            <w:vAlign w:val="center"/>
          </w:tcPr>
          <w:p w14:paraId="206438DB" w14:textId="77777777" w:rsidR="00333AC0" w:rsidRPr="00FE4973" w:rsidRDefault="00333AC0" w:rsidP="00011A05">
            <w:pPr>
              <w:widowControl/>
              <w:jc w:val="center"/>
              <w:rPr>
                <w:rFonts w:eastAsia="Batang" w:cs="Arial"/>
                <w:i/>
                <w:iCs/>
                <w:color w:val="000000" w:themeColor="text1"/>
                <w:sz w:val="16"/>
                <w:szCs w:val="16"/>
                <w:lang w:val="en-AU" w:bidi="ar-SA"/>
              </w:rPr>
            </w:pPr>
            <w:r w:rsidRPr="00FE4973">
              <w:rPr>
                <w:rFonts w:eastAsia="Batang" w:cs="Arial"/>
                <w:i/>
                <w:iCs/>
                <w:color w:val="000000" w:themeColor="text1"/>
                <w:sz w:val="16"/>
                <w:szCs w:val="16"/>
                <w:lang w:val="en-AU" w:bidi="ar-SA"/>
              </w:rPr>
              <w:t>O.sativa</w:t>
            </w:r>
          </w:p>
        </w:tc>
        <w:tc>
          <w:tcPr>
            <w:tcW w:w="993" w:type="dxa"/>
            <w:tcBorders>
              <w:top w:val="single" w:sz="4" w:space="0" w:color="auto"/>
              <w:left w:val="single" w:sz="4" w:space="0" w:color="auto"/>
              <w:bottom w:val="single" w:sz="4" w:space="0" w:color="auto"/>
              <w:right w:val="single" w:sz="4" w:space="0" w:color="auto"/>
            </w:tcBorders>
            <w:vAlign w:val="center"/>
          </w:tcPr>
          <w:p w14:paraId="206438DC" w14:textId="77777777" w:rsidR="00333AC0" w:rsidRPr="00FE4973"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DD" w14:textId="77777777" w:rsidR="00333AC0" w:rsidRPr="00FE4973"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Glutelin promoter (GenBank # D00584)</w:t>
            </w:r>
          </w:p>
          <w:p w14:paraId="206438DE" w14:textId="77777777" w:rsidR="00333AC0" w:rsidRPr="00FE4973"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 xml:space="preserve">Targets expression  of </w:t>
            </w:r>
            <w:r w:rsidRPr="00FE4973">
              <w:rPr>
                <w:rFonts w:eastAsia="Batang" w:cs="Arial"/>
                <w:i/>
                <w:iCs/>
                <w:color w:val="000000" w:themeColor="text1"/>
                <w:sz w:val="16"/>
                <w:szCs w:val="16"/>
                <w:lang w:val="en-AU" w:bidi="ar-SA"/>
              </w:rPr>
              <w:t xml:space="preserve">psyI </w:t>
            </w:r>
            <w:r w:rsidRPr="00FE4973">
              <w:rPr>
                <w:rFonts w:eastAsia="Batang" w:cs="Arial"/>
                <w:iCs/>
                <w:color w:val="000000" w:themeColor="text1"/>
                <w:sz w:val="16"/>
                <w:szCs w:val="16"/>
                <w:lang w:val="en-AU" w:bidi="ar-SA"/>
              </w:rPr>
              <w:t>to the endosperm</w:t>
            </w:r>
          </w:p>
          <w:p w14:paraId="206438DF" w14:textId="77777777" w:rsidR="00333AC0" w:rsidRDefault="00333AC0" w:rsidP="0022311E">
            <w:pPr>
              <w:pStyle w:val="ListParagraph"/>
              <w:widowControl/>
              <w:numPr>
                <w:ilvl w:val="0"/>
                <w:numId w:val="5"/>
              </w:numPr>
              <w:ind w:left="175" w:hanging="142"/>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 xml:space="preserve">Directs transcription of the </w:t>
            </w:r>
            <w:r w:rsidRPr="00FE4973">
              <w:rPr>
                <w:rFonts w:eastAsia="Batang" w:cs="Arial"/>
                <w:i/>
                <w:iCs/>
                <w:color w:val="000000" w:themeColor="text1"/>
                <w:sz w:val="16"/>
                <w:szCs w:val="16"/>
                <w:lang w:val="en-AU" w:bidi="ar-SA"/>
              </w:rPr>
              <w:t>psyI</w:t>
            </w:r>
            <w:r w:rsidRPr="00FE4973">
              <w:rPr>
                <w:rFonts w:eastAsia="Batang" w:cs="Arial"/>
                <w:iCs/>
                <w:color w:val="000000" w:themeColor="text1"/>
                <w:sz w:val="16"/>
                <w:szCs w:val="16"/>
                <w:lang w:val="en-AU" w:bidi="ar-SA"/>
              </w:rPr>
              <w:t xml:space="preserve"> gene</w:t>
            </w:r>
          </w:p>
          <w:p w14:paraId="206438E0" w14:textId="77777777" w:rsidR="00333AC0" w:rsidRPr="00FE4973" w:rsidRDefault="00333AC0" w:rsidP="00011A05">
            <w:pPr>
              <w:pStyle w:val="ListParagraph"/>
              <w:widowControl/>
              <w:ind w:left="175"/>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8E1" w14:textId="77777777" w:rsidR="00333AC0" w:rsidRPr="00FE4973" w:rsidRDefault="00333AC0" w:rsidP="00011A05">
            <w:pPr>
              <w:widowControl/>
              <w:ind w:left="34"/>
              <w:jc w:val="center"/>
              <w:rPr>
                <w:rFonts w:eastAsia="Batang" w:cs="Arial"/>
                <w:iCs/>
                <w:color w:val="000000" w:themeColor="text1"/>
                <w:sz w:val="16"/>
                <w:szCs w:val="16"/>
                <w:lang w:val="en-AU" w:bidi="ar-SA"/>
              </w:rPr>
            </w:pPr>
            <w:r w:rsidRPr="00B22D43">
              <w:rPr>
                <w:rFonts w:eastAsia="Batang" w:cs="Arial"/>
                <w:iCs/>
                <w:color w:val="000000" w:themeColor="text1"/>
                <w:sz w:val="16"/>
                <w:szCs w:val="16"/>
                <w:lang w:val="en-AU" w:bidi="ar-SA"/>
              </w:rPr>
              <w:t xml:space="preserve">Takaiwa et al. </w:t>
            </w:r>
            <w:r w:rsidRPr="00B22D43">
              <w:rPr>
                <w:rFonts w:eastAsia="Batang" w:cs="Arial"/>
                <w:iCs/>
                <w:noProof/>
                <w:color w:val="000000" w:themeColor="text1"/>
                <w:sz w:val="16"/>
                <w:szCs w:val="16"/>
                <w:lang w:val="en-AU" w:bidi="ar-SA"/>
              </w:rPr>
              <w:t>(1987)</w:t>
            </w:r>
          </w:p>
        </w:tc>
      </w:tr>
      <w:tr w:rsidR="00333AC0" w:rsidRPr="00E308F0" w14:paraId="206438EA"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E3"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8E4"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3854 - 3892</w:t>
            </w:r>
          </w:p>
        </w:tc>
        <w:tc>
          <w:tcPr>
            <w:tcW w:w="709" w:type="dxa"/>
            <w:tcBorders>
              <w:top w:val="single" w:sz="4" w:space="0" w:color="auto"/>
              <w:left w:val="single" w:sz="4" w:space="0" w:color="auto"/>
              <w:bottom w:val="single" w:sz="4" w:space="0" w:color="auto"/>
              <w:right w:val="single" w:sz="4" w:space="0" w:color="auto"/>
            </w:tcBorders>
            <w:vAlign w:val="center"/>
          </w:tcPr>
          <w:p w14:paraId="206438E5"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39</w:t>
            </w:r>
          </w:p>
        </w:tc>
        <w:tc>
          <w:tcPr>
            <w:tcW w:w="1417" w:type="dxa"/>
            <w:tcBorders>
              <w:top w:val="single" w:sz="4" w:space="0" w:color="auto"/>
              <w:left w:val="single" w:sz="4" w:space="0" w:color="auto"/>
              <w:bottom w:val="single" w:sz="4" w:space="0" w:color="auto"/>
              <w:right w:val="single" w:sz="4" w:space="0" w:color="auto"/>
            </w:tcBorders>
            <w:vAlign w:val="center"/>
          </w:tcPr>
          <w:p w14:paraId="206438E6" w14:textId="77777777" w:rsidR="00333AC0" w:rsidRPr="00FE4973"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tcPr>
          <w:p w14:paraId="206438E7" w14:textId="77777777" w:rsidR="00333AC0" w:rsidRPr="00FE4973" w:rsidRDefault="00333AC0" w:rsidP="00011A05">
            <w:pPr>
              <w:widowControl/>
              <w:ind w:left="34"/>
              <w:jc w:val="center"/>
              <w:rPr>
                <w:rFonts w:eastAsia="Batang" w:cs="Arial"/>
                <w:iCs/>
                <w:color w:val="000000" w:themeColor="text1"/>
                <w:sz w:val="16"/>
                <w:szCs w:val="16"/>
                <w:lang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8E8" w14:textId="77777777" w:rsidR="00333AC0" w:rsidRPr="00FE4973" w:rsidRDefault="00333AC0" w:rsidP="00011A05">
            <w:pPr>
              <w:pStyle w:val="ListParagraph"/>
              <w:widowControl/>
              <w:ind w:left="175"/>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8E9" w14:textId="77777777" w:rsidR="00333AC0" w:rsidRPr="00FE4973" w:rsidRDefault="00333AC0" w:rsidP="00011A05">
            <w:pPr>
              <w:widowControl/>
              <w:ind w:left="34"/>
              <w:jc w:val="center"/>
              <w:rPr>
                <w:rFonts w:eastAsia="Batang" w:cs="Arial"/>
                <w:iCs/>
                <w:color w:val="000000" w:themeColor="text1"/>
                <w:sz w:val="16"/>
                <w:szCs w:val="16"/>
                <w:lang w:bidi="ar-SA"/>
              </w:rPr>
            </w:pPr>
          </w:p>
        </w:tc>
      </w:tr>
      <w:tr w:rsidR="00333AC0" w:rsidRPr="00E308F0" w14:paraId="206438F2"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EB" w14:textId="77777777" w:rsidR="00333AC0" w:rsidRPr="00FE4973" w:rsidRDefault="00333AC0" w:rsidP="00011A05">
            <w:pPr>
              <w:widowControl/>
              <w:jc w:val="center"/>
              <w:rPr>
                <w:rFonts w:eastAsia="Batang" w:cs="Arial"/>
                <w:i/>
                <w:iCs/>
                <w:color w:val="000000" w:themeColor="text1"/>
                <w:sz w:val="16"/>
                <w:szCs w:val="16"/>
                <w:lang w:val="en-AU" w:bidi="ar-SA"/>
              </w:rPr>
            </w:pPr>
            <w:r w:rsidRPr="00FE4973">
              <w:rPr>
                <w:rFonts w:eastAsia="Batang" w:cs="Arial"/>
                <w:i/>
                <w:iCs/>
                <w:color w:val="000000" w:themeColor="text1"/>
                <w:sz w:val="16"/>
                <w:szCs w:val="16"/>
                <w:lang w:val="en-AU" w:bidi="ar-SA"/>
              </w:rPr>
              <w:t>Zmpsy1</w:t>
            </w:r>
          </w:p>
        </w:tc>
        <w:tc>
          <w:tcPr>
            <w:tcW w:w="1276" w:type="dxa"/>
            <w:tcBorders>
              <w:top w:val="single" w:sz="4" w:space="0" w:color="auto"/>
              <w:left w:val="single" w:sz="4" w:space="0" w:color="auto"/>
              <w:bottom w:val="single" w:sz="4" w:space="0" w:color="auto"/>
              <w:right w:val="single" w:sz="4" w:space="0" w:color="auto"/>
            </w:tcBorders>
            <w:vAlign w:val="center"/>
          </w:tcPr>
          <w:p w14:paraId="206438EC"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3893 - 5125</w:t>
            </w:r>
          </w:p>
        </w:tc>
        <w:tc>
          <w:tcPr>
            <w:tcW w:w="709" w:type="dxa"/>
            <w:tcBorders>
              <w:top w:val="single" w:sz="4" w:space="0" w:color="auto"/>
              <w:left w:val="single" w:sz="4" w:space="0" w:color="auto"/>
              <w:bottom w:val="single" w:sz="4" w:space="0" w:color="auto"/>
              <w:right w:val="single" w:sz="4" w:space="0" w:color="auto"/>
            </w:tcBorders>
            <w:vAlign w:val="center"/>
          </w:tcPr>
          <w:p w14:paraId="206438ED"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1233</w:t>
            </w:r>
          </w:p>
        </w:tc>
        <w:tc>
          <w:tcPr>
            <w:tcW w:w="1417" w:type="dxa"/>
            <w:tcBorders>
              <w:top w:val="single" w:sz="4" w:space="0" w:color="auto"/>
              <w:left w:val="single" w:sz="4" w:space="0" w:color="auto"/>
              <w:bottom w:val="single" w:sz="4" w:space="0" w:color="auto"/>
              <w:right w:val="single" w:sz="4" w:space="0" w:color="auto"/>
            </w:tcBorders>
            <w:vAlign w:val="center"/>
          </w:tcPr>
          <w:p w14:paraId="206438EE" w14:textId="77777777" w:rsidR="00333AC0" w:rsidRPr="00FE4973" w:rsidRDefault="00333AC0" w:rsidP="00011A05">
            <w:pPr>
              <w:widowControl/>
              <w:jc w:val="center"/>
              <w:rPr>
                <w:rFonts w:eastAsia="Batang" w:cs="Arial"/>
                <w:i/>
                <w:iCs/>
                <w:color w:val="000000" w:themeColor="text1"/>
                <w:sz w:val="16"/>
                <w:szCs w:val="16"/>
                <w:lang w:val="en-AU" w:bidi="ar-SA"/>
              </w:rPr>
            </w:pPr>
            <w:r w:rsidRPr="00FE4973">
              <w:rPr>
                <w:rFonts w:eastAsia="Batang" w:cs="Arial"/>
                <w:i/>
                <w:iCs/>
                <w:color w:val="000000" w:themeColor="text1"/>
                <w:sz w:val="16"/>
                <w:szCs w:val="16"/>
                <w:lang w:val="en-AU" w:bidi="ar-SA"/>
              </w:rPr>
              <w:t xml:space="preserve">Zea mays </w:t>
            </w:r>
            <w:r w:rsidRPr="00FE4973">
              <w:rPr>
                <w:rFonts w:eastAsia="Batang" w:cs="Arial"/>
                <w:iCs/>
                <w:color w:val="000000" w:themeColor="text1"/>
                <w:sz w:val="16"/>
                <w:szCs w:val="16"/>
                <w:lang w:val="en-AU" w:bidi="ar-SA"/>
              </w:rPr>
              <w:t>(corn)</w:t>
            </w:r>
          </w:p>
        </w:tc>
        <w:tc>
          <w:tcPr>
            <w:tcW w:w="993" w:type="dxa"/>
            <w:tcBorders>
              <w:top w:val="single" w:sz="4" w:space="0" w:color="auto"/>
              <w:left w:val="single" w:sz="4" w:space="0" w:color="auto"/>
              <w:bottom w:val="single" w:sz="4" w:space="0" w:color="auto"/>
              <w:right w:val="single" w:sz="4" w:space="0" w:color="auto"/>
            </w:tcBorders>
            <w:vAlign w:val="center"/>
          </w:tcPr>
          <w:p w14:paraId="206438EF" w14:textId="77777777" w:rsidR="00333AC0" w:rsidRPr="00FE4973" w:rsidRDefault="00333AC0" w:rsidP="00011A05">
            <w:pPr>
              <w:widowControl/>
              <w:ind w:left="34"/>
              <w:jc w:val="center"/>
              <w:rPr>
                <w:rFonts w:eastAsia="Batang" w:cs="Arial"/>
                <w:iCs/>
                <w:color w:val="000000" w:themeColor="text1"/>
                <w:sz w:val="16"/>
                <w:szCs w:val="16"/>
                <w:lang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8F0" w14:textId="77777777" w:rsidR="00333AC0" w:rsidRPr="00FE4973" w:rsidRDefault="00333AC0" w:rsidP="00011A05">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C</w:t>
            </w:r>
            <w:r w:rsidRPr="00FE4973">
              <w:rPr>
                <w:rFonts w:eastAsia="Batang" w:cs="Arial"/>
                <w:iCs/>
                <w:color w:val="000000" w:themeColor="text1"/>
                <w:sz w:val="16"/>
                <w:szCs w:val="16"/>
                <w:lang w:val="en-AU" w:bidi="ar-SA"/>
              </w:rPr>
              <w:t>oding sequence of the phytoene synthase gene (GenBank #U32636)</w:t>
            </w:r>
          </w:p>
        </w:tc>
        <w:tc>
          <w:tcPr>
            <w:tcW w:w="1559" w:type="dxa"/>
            <w:tcBorders>
              <w:top w:val="single" w:sz="4" w:space="0" w:color="auto"/>
              <w:left w:val="single" w:sz="4" w:space="0" w:color="auto"/>
              <w:bottom w:val="single" w:sz="4" w:space="0" w:color="auto"/>
              <w:right w:val="single" w:sz="4" w:space="0" w:color="auto"/>
            </w:tcBorders>
            <w:vAlign w:val="center"/>
          </w:tcPr>
          <w:p w14:paraId="206438F1" w14:textId="77777777" w:rsidR="00333AC0" w:rsidRPr="00FE4973" w:rsidRDefault="00333AC0" w:rsidP="00011A05">
            <w:pPr>
              <w:widowControl/>
              <w:ind w:left="34"/>
              <w:jc w:val="center"/>
              <w:rPr>
                <w:rFonts w:eastAsia="Batang" w:cs="Arial"/>
                <w:iCs/>
                <w:color w:val="000000" w:themeColor="text1"/>
                <w:sz w:val="16"/>
                <w:szCs w:val="16"/>
                <w:lang w:bidi="ar-SA"/>
              </w:rPr>
            </w:pPr>
            <w:r w:rsidRPr="004E5DE6">
              <w:rPr>
                <w:rFonts w:eastAsia="Batang" w:cs="Arial"/>
                <w:iCs/>
                <w:color w:val="000000" w:themeColor="text1"/>
                <w:sz w:val="16"/>
                <w:szCs w:val="16"/>
                <w:lang w:bidi="ar-SA"/>
              </w:rPr>
              <w:t xml:space="preserve">Buckner et al </w:t>
            </w:r>
            <w:r>
              <w:rPr>
                <w:rFonts w:eastAsia="Batang" w:cs="Arial"/>
                <w:iCs/>
                <w:noProof/>
                <w:color w:val="000000" w:themeColor="text1"/>
                <w:sz w:val="16"/>
                <w:szCs w:val="16"/>
                <w:lang w:bidi="ar-SA"/>
              </w:rPr>
              <w:t>(1996)</w:t>
            </w:r>
          </w:p>
        </w:tc>
      </w:tr>
      <w:tr w:rsidR="00333AC0" w:rsidRPr="00E308F0" w14:paraId="206438FA"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F3"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8F4"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5126 - 5145</w:t>
            </w:r>
          </w:p>
        </w:tc>
        <w:tc>
          <w:tcPr>
            <w:tcW w:w="709" w:type="dxa"/>
            <w:tcBorders>
              <w:top w:val="single" w:sz="4" w:space="0" w:color="auto"/>
              <w:left w:val="single" w:sz="4" w:space="0" w:color="auto"/>
              <w:bottom w:val="single" w:sz="4" w:space="0" w:color="auto"/>
              <w:right w:val="single" w:sz="4" w:space="0" w:color="auto"/>
            </w:tcBorders>
            <w:vAlign w:val="center"/>
          </w:tcPr>
          <w:p w14:paraId="206438F5"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20</w:t>
            </w:r>
          </w:p>
        </w:tc>
        <w:tc>
          <w:tcPr>
            <w:tcW w:w="1417" w:type="dxa"/>
            <w:tcBorders>
              <w:top w:val="single" w:sz="4" w:space="0" w:color="auto"/>
              <w:left w:val="single" w:sz="4" w:space="0" w:color="auto"/>
              <w:bottom w:val="single" w:sz="4" w:space="0" w:color="auto"/>
              <w:right w:val="single" w:sz="4" w:space="0" w:color="auto"/>
            </w:tcBorders>
            <w:vAlign w:val="center"/>
          </w:tcPr>
          <w:p w14:paraId="206438F6" w14:textId="77777777" w:rsidR="00333AC0" w:rsidRPr="00FE4973"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8F7" w14:textId="77777777" w:rsidR="00333AC0" w:rsidRPr="00FE4973"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8F8" w14:textId="77777777" w:rsidR="00333AC0" w:rsidRPr="00FE4973" w:rsidRDefault="00333AC0" w:rsidP="00011A05">
            <w:pPr>
              <w:widowControl/>
              <w:ind w:left="34"/>
              <w:jc w:val="center"/>
              <w:rPr>
                <w:rFonts w:eastAsia="Batang" w:cs="Arial"/>
                <w:iCs/>
                <w:color w:val="000000" w:themeColor="text1"/>
                <w:sz w:val="16"/>
                <w:szCs w:val="16"/>
                <w:lang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8F9" w14:textId="77777777" w:rsidR="00333AC0" w:rsidRPr="00FE4973" w:rsidRDefault="00333AC0" w:rsidP="00011A05">
            <w:pPr>
              <w:widowControl/>
              <w:ind w:left="34"/>
              <w:jc w:val="center"/>
              <w:rPr>
                <w:rFonts w:eastAsia="Batang" w:cs="Arial"/>
                <w:iCs/>
                <w:color w:val="000000" w:themeColor="text1"/>
                <w:sz w:val="16"/>
                <w:szCs w:val="16"/>
                <w:lang w:val="en-AU" w:bidi="ar-SA"/>
              </w:rPr>
            </w:pPr>
          </w:p>
        </w:tc>
      </w:tr>
      <w:tr w:rsidR="00333AC0" w:rsidRPr="00E308F0" w14:paraId="20643903"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8FB"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
                <w:iCs/>
                <w:color w:val="000000" w:themeColor="text1"/>
                <w:sz w:val="16"/>
                <w:szCs w:val="16"/>
                <w:lang w:val="en-AU" w:bidi="ar-SA"/>
              </w:rPr>
              <w:t>NOS</w:t>
            </w:r>
            <w:r w:rsidRPr="00FE4973">
              <w:rPr>
                <w:rFonts w:eastAsia="Batang" w:cs="Arial"/>
                <w:iCs/>
                <w:color w:val="000000" w:themeColor="text1"/>
                <w:sz w:val="16"/>
                <w:szCs w:val="16"/>
                <w:lang w:val="en-AU" w:bidi="ar-SA"/>
              </w:rPr>
              <w:t xml:space="preserve"> 3’</w:t>
            </w:r>
          </w:p>
        </w:tc>
        <w:tc>
          <w:tcPr>
            <w:tcW w:w="1276" w:type="dxa"/>
            <w:tcBorders>
              <w:top w:val="single" w:sz="4" w:space="0" w:color="auto"/>
              <w:left w:val="single" w:sz="4" w:space="0" w:color="auto"/>
              <w:bottom w:val="single" w:sz="4" w:space="0" w:color="auto"/>
              <w:right w:val="single" w:sz="4" w:space="0" w:color="auto"/>
            </w:tcBorders>
            <w:vAlign w:val="center"/>
          </w:tcPr>
          <w:p w14:paraId="206438FC"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5146 - 5398</w:t>
            </w:r>
          </w:p>
        </w:tc>
        <w:tc>
          <w:tcPr>
            <w:tcW w:w="709" w:type="dxa"/>
            <w:tcBorders>
              <w:top w:val="single" w:sz="4" w:space="0" w:color="auto"/>
              <w:left w:val="single" w:sz="4" w:space="0" w:color="auto"/>
              <w:bottom w:val="single" w:sz="4" w:space="0" w:color="auto"/>
              <w:right w:val="single" w:sz="4" w:space="0" w:color="auto"/>
            </w:tcBorders>
            <w:vAlign w:val="center"/>
          </w:tcPr>
          <w:p w14:paraId="206438FD"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253</w:t>
            </w:r>
          </w:p>
        </w:tc>
        <w:tc>
          <w:tcPr>
            <w:tcW w:w="1417" w:type="dxa"/>
            <w:tcBorders>
              <w:top w:val="single" w:sz="4" w:space="0" w:color="auto"/>
              <w:left w:val="single" w:sz="4" w:space="0" w:color="auto"/>
              <w:bottom w:val="single" w:sz="4" w:space="0" w:color="auto"/>
              <w:right w:val="single" w:sz="4" w:space="0" w:color="auto"/>
            </w:tcBorders>
            <w:vAlign w:val="center"/>
          </w:tcPr>
          <w:p w14:paraId="206438FE" w14:textId="77777777" w:rsidR="00333AC0" w:rsidRPr="00FE4973" w:rsidRDefault="00333AC0" w:rsidP="00011A05">
            <w:pPr>
              <w:widowControl/>
              <w:jc w:val="center"/>
              <w:rPr>
                <w:rFonts w:eastAsia="Batang" w:cs="Arial"/>
                <w:i/>
                <w:iCs/>
                <w:color w:val="000000" w:themeColor="text1"/>
                <w:sz w:val="16"/>
                <w:szCs w:val="16"/>
                <w:lang w:val="en-AU" w:bidi="ar-SA"/>
              </w:rPr>
            </w:pPr>
            <w:r w:rsidRPr="00FE4973">
              <w:rPr>
                <w:rFonts w:eastAsia="Batang" w:cs="Arial"/>
                <w:i/>
                <w:iCs/>
                <w:color w:val="000000" w:themeColor="text1"/>
                <w:sz w:val="16"/>
                <w:szCs w:val="16"/>
                <w:lang w:val="en-AU" w:bidi="ar-SA"/>
              </w:rPr>
              <w:t>Agrobacterium tumefaciens</w:t>
            </w:r>
          </w:p>
        </w:tc>
        <w:tc>
          <w:tcPr>
            <w:tcW w:w="993" w:type="dxa"/>
            <w:tcBorders>
              <w:top w:val="single" w:sz="4" w:space="0" w:color="auto"/>
              <w:left w:val="single" w:sz="4" w:space="0" w:color="auto"/>
              <w:bottom w:val="single" w:sz="4" w:space="0" w:color="auto"/>
              <w:right w:val="single" w:sz="4" w:space="0" w:color="auto"/>
            </w:tcBorders>
            <w:vAlign w:val="center"/>
          </w:tcPr>
          <w:p w14:paraId="206438FF" w14:textId="77777777" w:rsidR="00333AC0" w:rsidRPr="00FE4973"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900" w14:textId="77777777" w:rsidR="00333AC0" w:rsidRDefault="00333AC0" w:rsidP="0022311E">
            <w:pPr>
              <w:pStyle w:val="ListParagraph"/>
              <w:widowControl/>
              <w:numPr>
                <w:ilvl w:val="0"/>
                <w:numId w:val="7"/>
              </w:numPr>
              <w:ind w:left="175" w:hanging="142"/>
              <w:jc w:val="center"/>
              <w:rPr>
                <w:rFonts w:eastAsia="Batang" w:cs="Arial"/>
                <w:iCs/>
                <w:color w:val="000000" w:themeColor="text1"/>
                <w:sz w:val="16"/>
                <w:szCs w:val="16"/>
                <w:lang w:bidi="ar-SA"/>
              </w:rPr>
            </w:pPr>
            <w:r w:rsidRPr="00FE4973">
              <w:rPr>
                <w:rFonts w:eastAsia="Batang" w:cs="Arial"/>
                <w:iCs/>
                <w:color w:val="000000" w:themeColor="text1"/>
                <w:sz w:val="16"/>
                <w:szCs w:val="16"/>
                <w:lang w:bidi="ar-SA"/>
              </w:rPr>
              <w:t xml:space="preserve">Terminator region from the </w:t>
            </w:r>
            <w:r w:rsidRPr="00FE4973">
              <w:rPr>
                <w:rFonts w:eastAsia="Batang" w:cs="Arial"/>
                <w:i/>
                <w:iCs/>
                <w:color w:val="000000" w:themeColor="text1"/>
                <w:sz w:val="16"/>
                <w:szCs w:val="16"/>
                <w:lang w:bidi="ar-SA"/>
              </w:rPr>
              <w:t>nopaline synthase gene</w:t>
            </w:r>
            <w:r w:rsidRPr="00FE4973">
              <w:rPr>
                <w:rFonts w:eastAsia="Batang" w:cs="Arial"/>
                <w:iCs/>
                <w:color w:val="000000" w:themeColor="text1"/>
                <w:sz w:val="16"/>
                <w:szCs w:val="16"/>
                <w:lang w:bidi="ar-SA"/>
              </w:rPr>
              <w:t xml:space="preserve"> (GenBank # V00087)</w:t>
            </w:r>
          </w:p>
          <w:p w14:paraId="20643901" w14:textId="77777777" w:rsidR="00333AC0" w:rsidRPr="009F1211" w:rsidRDefault="00333AC0" w:rsidP="0022311E">
            <w:pPr>
              <w:pStyle w:val="ListParagraph"/>
              <w:widowControl/>
              <w:numPr>
                <w:ilvl w:val="0"/>
                <w:numId w:val="7"/>
              </w:numPr>
              <w:ind w:left="175" w:hanging="142"/>
              <w:jc w:val="center"/>
              <w:rPr>
                <w:rFonts w:eastAsia="Batang" w:cs="Arial"/>
                <w:iCs/>
                <w:color w:val="000000" w:themeColor="text1"/>
                <w:sz w:val="16"/>
                <w:szCs w:val="16"/>
                <w:lang w:bidi="ar-SA"/>
              </w:rPr>
            </w:pPr>
            <w:r w:rsidRPr="009F1211">
              <w:rPr>
                <w:rFonts w:eastAsia="Batang" w:cs="Arial"/>
                <w:iCs/>
                <w:color w:val="000000" w:themeColor="text1"/>
                <w:sz w:val="16"/>
                <w:szCs w:val="16"/>
                <w:lang w:bidi="ar-SA"/>
              </w:rPr>
              <w:t xml:space="preserve">Directs polyadenylation of the </w:t>
            </w:r>
            <w:r w:rsidRPr="009F1211">
              <w:rPr>
                <w:rFonts w:eastAsia="Batang" w:cs="Arial"/>
                <w:i/>
                <w:iCs/>
                <w:color w:val="000000" w:themeColor="text1"/>
                <w:sz w:val="16"/>
                <w:szCs w:val="16"/>
                <w:lang w:bidi="ar-SA"/>
              </w:rPr>
              <w:t>psy1</w:t>
            </w:r>
            <w:r w:rsidRPr="009F1211">
              <w:rPr>
                <w:rFonts w:eastAsia="Batang" w:cs="Arial"/>
                <w:iCs/>
                <w:color w:val="000000" w:themeColor="text1"/>
                <w:sz w:val="16"/>
                <w:szCs w:val="16"/>
                <w:lang w:bidi="ar-SA"/>
              </w:rPr>
              <w:t xml:space="preserve"> gene</w:t>
            </w:r>
          </w:p>
        </w:tc>
        <w:tc>
          <w:tcPr>
            <w:tcW w:w="1559" w:type="dxa"/>
            <w:tcBorders>
              <w:top w:val="single" w:sz="4" w:space="0" w:color="auto"/>
              <w:left w:val="single" w:sz="4" w:space="0" w:color="auto"/>
              <w:bottom w:val="single" w:sz="4" w:space="0" w:color="auto"/>
              <w:right w:val="single" w:sz="4" w:space="0" w:color="auto"/>
            </w:tcBorders>
            <w:vAlign w:val="center"/>
          </w:tcPr>
          <w:p w14:paraId="20643902" w14:textId="77777777" w:rsidR="00333AC0" w:rsidRPr="00FE4973"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bidi="ar-SA"/>
              </w:rPr>
              <w:t xml:space="preserve">Depicker et al </w:t>
            </w:r>
            <w:r>
              <w:rPr>
                <w:rFonts w:eastAsia="Batang" w:cs="Arial"/>
                <w:iCs/>
                <w:noProof/>
                <w:color w:val="000000" w:themeColor="text1"/>
                <w:sz w:val="16"/>
                <w:szCs w:val="16"/>
                <w:lang w:bidi="ar-SA"/>
              </w:rPr>
              <w:t>(1982)</w:t>
            </w:r>
          </w:p>
        </w:tc>
      </w:tr>
      <w:tr w:rsidR="00333AC0" w:rsidRPr="00E308F0" w14:paraId="2064390B"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904"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905"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5399 - 5423</w:t>
            </w:r>
          </w:p>
        </w:tc>
        <w:tc>
          <w:tcPr>
            <w:tcW w:w="709" w:type="dxa"/>
            <w:tcBorders>
              <w:top w:val="single" w:sz="4" w:space="0" w:color="auto"/>
              <w:left w:val="single" w:sz="4" w:space="0" w:color="auto"/>
              <w:bottom w:val="single" w:sz="4" w:space="0" w:color="auto"/>
              <w:right w:val="single" w:sz="4" w:space="0" w:color="auto"/>
            </w:tcBorders>
            <w:vAlign w:val="center"/>
          </w:tcPr>
          <w:p w14:paraId="20643906" w14:textId="77777777" w:rsidR="00333AC0" w:rsidRPr="00FE4973" w:rsidRDefault="00333AC0" w:rsidP="00011A05">
            <w:pPr>
              <w:widowControl/>
              <w:jc w:val="center"/>
              <w:rPr>
                <w:rFonts w:eastAsia="Batang" w:cs="Arial"/>
                <w:iCs/>
                <w:color w:val="000000" w:themeColor="text1"/>
                <w:sz w:val="16"/>
                <w:szCs w:val="16"/>
                <w:lang w:val="en-AU" w:bidi="ar-SA"/>
              </w:rPr>
            </w:pPr>
            <w:r w:rsidRPr="00FE4973">
              <w:rPr>
                <w:rFonts w:eastAsia="Batang" w:cs="Arial"/>
                <w:iCs/>
                <w:color w:val="000000" w:themeColor="text1"/>
                <w:sz w:val="16"/>
                <w:szCs w:val="16"/>
                <w:lang w:val="en-AU" w:bidi="ar-SA"/>
              </w:rPr>
              <w:t>25</w:t>
            </w:r>
          </w:p>
        </w:tc>
        <w:tc>
          <w:tcPr>
            <w:tcW w:w="1417" w:type="dxa"/>
            <w:tcBorders>
              <w:top w:val="single" w:sz="4" w:space="0" w:color="auto"/>
              <w:left w:val="single" w:sz="4" w:space="0" w:color="auto"/>
              <w:bottom w:val="single" w:sz="4" w:space="0" w:color="auto"/>
              <w:right w:val="single" w:sz="4" w:space="0" w:color="auto"/>
            </w:tcBorders>
            <w:vAlign w:val="center"/>
          </w:tcPr>
          <w:p w14:paraId="20643907" w14:textId="77777777" w:rsidR="00333AC0" w:rsidRPr="00FE4973"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908" w14:textId="77777777" w:rsidR="00333AC0" w:rsidRPr="00FE4973" w:rsidRDefault="00333AC0" w:rsidP="00011A05">
            <w:pPr>
              <w:widowControl/>
              <w:ind w:left="34"/>
              <w:jc w:val="center"/>
              <w:rPr>
                <w:rFonts w:eastAsia="Batang" w:cs="Arial"/>
                <w:iCs/>
                <w:color w:val="000000" w:themeColor="text1"/>
                <w:sz w:val="16"/>
                <w:szCs w:val="16"/>
                <w:lang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909" w14:textId="77777777" w:rsidR="00333AC0" w:rsidRPr="00FE4973" w:rsidRDefault="00333AC0" w:rsidP="00011A05">
            <w:pPr>
              <w:widowControl/>
              <w:ind w:left="34"/>
              <w:jc w:val="center"/>
              <w:rPr>
                <w:rFonts w:eastAsia="Batang" w:cs="Arial"/>
                <w:iCs/>
                <w:color w:val="000000" w:themeColor="text1"/>
                <w:sz w:val="16"/>
                <w:szCs w:val="16"/>
                <w:lang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90A" w14:textId="77777777" w:rsidR="00333AC0" w:rsidRPr="00FE4973" w:rsidRDefault="00333AC0" w:rsidP="00011A05">
            <w:pPr>
              <w:widowControl/>
              <w:ind w:left="34"/>
              <w:jc w:val="center"/>
              <w:rPr>
                <w:rFonts w:eastAsia="Batang" w:cs="Arial"/>
                <w:iCs/>
                <w:color w:val="000000" w:themeColor="text1"/>
                <w:sz w:val="16"/>
                <w:szCs w:val="16"/>
                <w:lang w:bidi="ar-SA"/>
              </w:rPr>
            </w:pPr>
          </w:p>
        </w:tc>
      </w:tr>
      <w:tr w:rsidR="00333AC0" w:rsidRPr="00E308F0" w14:paraId="2064390D" w14:textId="77777777" w:rsidTr="00011A05">
        <w:trPr>
          <w:trHeight w:val="624"/>
        </w:trPr>
        <w:tc>
          <w:tcPr>
            <w:tcW w:w="9322" w:type="dxa"/>
            <w:gridSpan w:val="7"/>
            <w:tcBorders>
              <w:top w:val="single" w:sz="4" w:space="0" w:color="auto"/>
              <w:left w:val="single" w:sz="4" w:space="0" w:color="auto"/>
              <w:bottom w:val="single" w:sz="4" w:space="0" w:color="auto"/>
              <w:right w:val="single" w:sz="4" w:space="0" w:color="auto"/>
            </w:tcBorders>
            <w:shd w:val="clear" w:color="auto" w:fill="CC99FF"/>
            <w:vAlign w:val="center"/>
          </w:tcPr>
          <w:p w14:paraId="2064390C" w14:textId="77777777" w:rsidR="00333AC0" w:rsidRPr="00FE4973" w:rsidRDefault="00333AC0" w:rsidP="00011A05">
            <w:pPr>
              <w:widowControl/>
              <w:ind w:left="34"/>
              <w:rPr>
                <w:rFonts w:eastAsia="Batang" w:cs="Arial"/>
                <w:b/>
                <w:iCs/>
                <w:color w:val="000000" w:themeColor="text1"/>
                <w:sz w:val="16"/>
                <w:szCs w:val="16"/>
                <w:lang w:bidi="ar-SA"/>
              </w:rPr>
            </w:pPr>
            <w:r w:rsidRPr="00FE4973">
              <w:rPr>
                <w:rFonts w:eastAsia="Batang" w:cs="Arial"/>
                <w:b/>
                <w:i/>
                <w:iCs/>
                <w:color w:val="000000" w:themeColor="text1"/>
                <w:sz w:val="16"/>
                <w:szCs w:val="16"/>
                <w:lang w:bidi="ar-SA"/>
              </w:rPr>
              <w:t>pmi</w:t>
            </w:r>
            <w:r w:rsidRPr="00FE4973">
              <w:rPr>
                <w:rFonts w:eastAsia="Batang" w:cs="Arial"/>
                <w:b/>
                <w:iCs/>
                <w:color w:val="000000" w:themeColor="text1"/>
                <w:sz w:val="16"/>
                <w:szCs w:val="16"/>
                <w:lang w:bidi="ar-SA"/>
              </w:rPr>
              <w:t xml:space="preserve"> cassette</w:t>
            </w:r>
          </w:p>
        </w:tc>
      </w:tr>
      <w:tr w:rsidR="00333AC0" w:rsidRPr="00E308F0" w14:paraId="20643916" w14:textId="77777777" w:rsidTr="00011A05">
        <w:tc>
          <w:tcPr>
            <w:tcW w:w="1242" w:type="dxa"/>
            <w:tcBorders>
              <w:top w:val="single" w:sz="4" w:space="0" w:color="auto"/>
              <w:left w:val="single" w:sz="4" w:space="0" w:color="auto"/>
              <w:bottom w:val="single" w:sz="4" w:space="0" w:color="auto"/>
              <w:right w:val="single" w:sz="4" w:space="0" w:color="auto"/>
            </w:tcBorders>
            <w:vAlign w:val="center"/>
          </w:tcPr>
          <w:p w14:paraId="2064390E" w14:textId="77777777" w:rsidR="00333AC0" w:rsidRPr="00E4667B" w:rsidRDefault="00333AC0" w:rsidP="00011A05">
            <w:pPr>
              <w:widowControl/>
              <w:jc w:val="center"/>
              <w:rPr>
                <w:rFonts w:eastAsia="Batang" w:cs="Arial"/>
                <w:i/>
                <w:iCs/>
                <w:color w:val="000000" w:themeColor="text1"/>
                <w:sz w:val="16"/>
                <w:szCs w:val="16"/>
                <w:lang w:val="en-AU" w:bidi="ar-SA"/>
              </w:rPr>
            </w:pPr>
            <w:r w:rsidRPr="00E4667B">
              <w:rPr>
                <w:rFonts w:eastAsia="Batang" w:cs="Arial"/>
                <w:i/>
                <w:iCs/>
                <w:color w:val="000000" w:themeColor="text1"/>
                <w:sz w:val="16"/>
                <w:szCs w:val="16"/>
                <w:lang w:val="en-AU" w:bidi="ar-SA"/>
              </w:rPr>
              <w:t>ZmUBI</w:t>
            </w:r>
          </w:p>
        </w:tc>
        <w:tc>
          <w:tcPr>
            <w:tcW w:w="1276" w:type="dxa"/>
            <w:tcBorders>
              <w:top w:val="single" w:sz="4" w:space="0" w:color="auto"/>
              <w:left w:val="single" w:sz="4" w:space="0" w:color="auto"/>
              <w:bottom w:val="single" w:sz="4" w:space="0" w:color="auto"/>
              <w:right w:val="single" w:sz="4" w:space="0" w:color="auto"/>
            </w:tcBorders>
            <w:vAlign w:val="center"/>
          </w:tcPr>
          <w:p w14:paraId="2064390F"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5424 - 7416</w:t>
            </w:r>
          </w:p>
        </w:tc>
        <w:tc>
          <w:tcPr>
            <w:tcW w:w="709" w:type="dxa"/>
            <w:tcBorders>
              <w:top w:val="single" w:sz="4" w:space="0" w:color="auto"/>
              <w:left w:val="single" w:sz="4" w:space="0" w:color="auto"/>
              <w:bottom w:val="single" w:sz="4" w:space="0" w:color="auto"/>
              <w:right w:val="single" w:sz="4" w:space="0" w:color="auto"/>
            </w:tcBorders>
            <w:vAlign w:val="center"/>
          </w:tcPr>
          <w:p w14:paraId="20643910"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1993</w:t>
            </w:r>
          </w:p>
        </w:tc>
        <w:tc>
          <w:tcPr>
            <w:tcW w:w="1417" w:type="dxa"/>
            <w:tcBorders>
              <w:top w:val="single" w:sz="4" w:space="0" w:color="auto"/>
              <w:left w:val="single" w:sz="4" w:space="0" w:color="auto"/>
              <w:bottom w:val="single" w:sz="4" w:space="0" w:color="auto"/>
              <w:right w:val="single" w:sz="4" w:space="0" w:color="auto"/>
            </w:tcBorders>
            <w:vAlign w:val="center"/>
          </w:tcPr>
          <w:p w14:paraId="20643911" w14:textId="77777777" w:rsidR="00333AC0" w:rsidRPr="00E4667B" w:rsidRDefault="00333AC0" w:rsidP="00011A05">
            <w:pPr>
              <w:widowControl/>
              <w:jc w:val="center"/>
              <w:rPr>
                <w:rFonts w:eastAsia="Batang" w:cs="Arial"/>
                <w:i/>
                <w:iCs/>
                <w:color w:val="000000" w:themeColor="text1"/>
                <w:sz w:val="16"/>
                <w:szCs w:val="16"/>
                <w:lang w:val="en-AU" w:bidi="ar-SA"/>
              </w:rPr>
            </w:pPr>
            <w:r w:rsidRPr="00E4667B">
              <w:rPr>
                <w:rFonts w:eastAsia="Batang" w:cs="Arial"/>
                <w:i/>
                <w:iCs/>
                <w:color w:val="000000" w:themeColor="text1"/>
                <w:sz w:val="16"/>
                <w:szCs w:val="16"/>
                <w:lang w:val="en-AU" w:bidi="ar-SA"/>
              </w:rPr>
              <w:t xml:space="preserve">Zea mays </w:t>
            </w:r>
            <w:r w:rsidRPr="00E4667B">
              <w:rPr>
                <w:rFonts w:eastAsia="Batang" w:cs="Arial"/>
                <w:iCs/>
                <w:color w:val="000000" w:themeColor="text1"/>
                <w:sz w:val="16"/>
                <w:szCs w:val="16"/>
                <w:lang w:val="en-AU" w:bidi="ar-SA"/>
              </w:rPr>
              <w:t>(corn)</w:t>
            </w:r>
          </w:p>
        </w:tc>
        <w:tc>
          <w:tcPr>
            <w:tcW w:w="993" w:type="dxa"/>
            <w:tcBorders>
              <w:top w:val="single" w:sz="4" w:space="0" w:color="auto"/>
              <w:left w:val="single" w:sz="4" w:space="0" w:color="auto"/>
              <w:bottom w:val="single" w:sz="4" w:space="0" w:color="auto"/>
              <w:right w:val="single" w:sz="4" w:space="0" w:color="auto"/>
            </w:tcBorders>
            <w:vAlign w:val="center"/>
          </w:tcPr>
          <w:p w14:paraId="20643912" w14:textId="77777777" w:rsidR="00333AC0" w:rsidRPr="00E4667B" w:rsidRDefault="00333AC0" w:rsidP="00011A05">
            <w:pPr>
              <w:widowControl/>
              <w:ind w:left="34"/>
              <w:jc w:val="center"/>
              <w:rPr>
                <w:rFonts w:eastAsia="Batang" w:cs="Arial"/>
                <w:iCs/>
                <w:color w:val="000000" w:themeColor="text1"/>
                <w:sz w:val="16"/>
                <w:szCs w:val="16"/>
                <w:lang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913" w14:textId="77777777" w:rsidR="00333AC0" w:rsidRPr="00E4667B" w:rsidRDefault="00333AC0" w:rsidP="0022311E">
            <w:pPr>
              <w:pStyle w:val="ListParagraph"/>
              <w:widowControl/>
              <w:numPr>
                <w:ilvl w:val="0"/>
                <w:numId w:val="7"/>
              </w:numPr>
              <w:ind w:left="175" w:hanging="142"/>
              <w:rPr>
                <w:rFonts w:eastAsia="Batang" w:cs="Arial"/>
                <w:iCs/>
                <w:color w:val="000000" w:themeColor="text1"/>
                <w:sz w:val="16"/>
                <w:szCs w:val="16"/>
                <w:lang w:val="en-AU" w:bidi="ar-SA"/>
              </w:rPr>
            </w:pPr>
            <w:r w:rsidRPr="00E4667B">
              <w:rPr>
                <w:rFonts w:eastAsia="Batang" w:cs="Arial"/>
                <w:iCs/>
                <w:color w:val="000000" w:themeColor="text1"/>
                <w:sz w:val="16"/>
                <w:szCs w:val="16"/>
                <w:lang w:bidi="ar-SA"/>
              </w:rPr>
              <w:t>Modified promoter region and first intron from polyubiquitin gene (GenBank # S94464)</w:t>
            </w:r>
          </w:p>
          <w:p w14:paraId="20643914" w14:textId="77777777" w:rsidR="00333AC0" w:rsidRPr="00E4667B" w:rsidRDefault="00333AC0" w:rsidP="0022311E">
            <w:pPr>
              <w:pStyle w:val="ListParagraph"/>
              <w:widowControl/>
              <w:numPr>
                <w:ilvl w:val="0"/>
                <w:numId w:val="7"/>
              </w:numPr>
              <w:ind w:left="175" w:hanging="142"/>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 xml:space="preserve">Directs transcription of the </w:t>
            </w:r>
            <w:r w:rsidRPr="00E4667B">
              <w:rPr>
                <w:rFonts w:eastAsia="Batang" w:cs="Arial"/>
                <w:i/>
                <w:iCs/>
                <w:color w:val="000000" w:themeColor="text1"/>
                <w:sz w:val="16"/>
                <w:szCs w:val="16"/>
                <w:lang w:val="en-AU" w:bidi="ar-SA"/>
              </w:rPr>
              <w:t xml:space="preserve">pmi </w:t>
            </w:r>
            <w:r w:rsidRPr="00E4667B">
              <w:rPr>
                <w:rFonts w:eastAsia="Batang" w:cs="Arial"/>
                <w:iCs/>
                <w:color w:val="000000" w:themeColor="text1"/>
                <w:sz w:val="16"/>
                <w:szCs w:val="16"/>
                <w:lang w:val="en-AU" w:bidi="ar-SA"/>
              </w:rPr>
              <w:t>gene</w:t>
            </w:r>
          </w:p>
        </w:tc>
        <w:tc>
          <w:tcPr>
            <w:tcW w:w="1559" w:type="dxa"/>
            <w:tcBorders>
              <w:top w:val="single" w:sz="4" w:space="0" w:color="auto"/>
              <w:left w:val="single" w:sz="4" w:space="0" w:color="auto"/>
              <w:bottom w:val="single" w:sz="4" w:space="0" w:color="auto"/>
              <w:right w:val="single" w:sz="4" w:space="0" w:color="auto"/>
            </w:tcBorders>
            <w:vAlign w:val="center"/>
          </w:tcPr>
          <w:p w14:paraId="20643915" w14:textId="77777777" w:rsidR="00333AC0" w:rsidRPr="00E4667B" w:rsidRDefault="00333AC0" w:rsidP="00011A05">
            <w:pPr>
              <w:widowControl/>
              <w:ind w:left="34"/>
              <w:jc w:val="center"/>
              <w:rPr>
                <w:rFonts w:eastAsia="Batang" w:cs="Arial"/>
                <w:iCs/>
                <w:color w:val="000000" w:themeColor="text1"/>
                <w:sz w:val="16"/>
                <w:szCs w:val="16"/>
                <w:lang w:bidi="ar-SA"/>
              </w:rPr>
            </w:pPr>
            <w:r>
              <w:rPr>
                <w:rFonts w:eastAsia="Batang" w:cs="Arial"/>
                <w:iCs/>
                <w:color w:val="000000" w:themeColor="text1"/>
                <w:sz w:val="16"/>
                <w:szCs w:val="16"/>
                <w:lang w:bidi="ar-SA"/>
              </w:rPr>
              <w:t xml:space="preserve">Christensen et al </w:t>
            </w:r>
            <w:r>
              <w:rPr>
                <w:rFonts w:eastAsia="Batang" w:cs="Arial"/>
                <w:iCs/>
                <w:noProof/>
                <w:color w:val="000000" w:themeColor="text1"/>
                <w:sz w:val="16"/>
                <w:szCs w:val="16"/>
                <w:lang w:bidi="ar-SA"/>
              </w:rPr>
              <w:t>(1992)</w:t>
            </w:r>
          </w:p>
        </w:tc>
      </w:tr>
      <w:tr w:rsidR="00333AC0" w:rsidRPr="00E308F0" w14:paraId="2064391E" w14:textId="77777777" w:rsidTr="00011A05">
        <w:trPr>
          <w:trHeight w:val="466"/>
        </w:trPr>
        <w:tc>
          <w:tcPr>
            <w:tcW w:w="1242" w:type="dxa"/>
            <w:tcBorders>
              <w:top w:val="single" w:sz="4" w:space="0" w:color="auto"/>
              <w:left w:val="single" w:sz="4" w:space="0" w:color="auto"/>
              <w:bottom w:val="single" w:sz="4" w:space="0" w:color="auto"/>
              <w:right w:val="single" w:sz="4" w:space="0" w:color="auto"/>
            </w:tcBorders>
            <w:vAlign w:val="center"/>
          </w:tcPr>
          <w:p w14:paraId="20643917"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918"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7417 - 7428</w:t>
            </w:r>
          </w:p>
        </w:tc>
        <w:tc>
          <w:tcPr>
            <w:tcW w:w="709" w:type="dxa"/>
            <w:tcBorders>
              <w:top w:val="single" w:sz="4" w:space="0" w:color="auto"/>
              <w:left w:val="single" w:sz="4" w:space="0" w:color="auto"/>
              <w:bottom w:val="single" w:sz="4" w:space="0" w:color="auto"/>
              <w:right w:val="single" w:sz="4" w:space="0" w:color="auto"/>
            </w:tcBorders>
            <w:vAlign w:val="center"/>
          </w:tcPr>
          <w:p w14:paraId="20643919"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12</w:t>
            </w:r>
          </w:p>
        </w:tc>
        <w:tc>
          <w:tcPr>
            <w:tcW w:w="1417" w:type="dxa"/>
            <w:tcBorders>
              <w:top w:val="single" w:sz="4" w:space="0" w:color="auto"/>
              <w:left w:val="single" w:sz="4" w:space="0" w:color="auto"/>
              <w:bottom w:val="single" w:sz="4" w:space="0" w:color="auto"/>
              <w:right w:val="single" w:sz="4" w:space="0" w:color="auto"/>
            </w:tcBorders>
            <w:vAlign w:val="center"/>
          </w:tcPr>
          <w:p w14:paraId="2064391A" w14:textId="77777777" w:rsidR="00333AC0" w:rsidRPr="00E4667B"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91B"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91C" w14:textId="77777777" w:rsidR="00333AC0" w:rsidRPr="00E4667B" w:rsidRDefault="00333AC0" w:rsidP="00011A05">
            <w:pPr>
              <w:widowControl/>
              <w:ind w:left="34"/>
              <w:jc w:val="center"/>
              <w:rPr>
                <w:rFonts w:eastAsia="Batang" w:cs="Arial"/>
                <w:iCs/>
                <w:color w:val="000000" w:themeColor="text1"/>
                <w:sz w:val="16"/>
                <w:szCs w:val="16"/>
                <w:lang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91D"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r>
      <w:tr w:rsidR="00333AC0" w:rsidRPr="00E308F0" w14:paraId="20643926" w14:textId="77777777" w:rsidTr="00011A05">
        <w:trPr>
          <w:trHeight w:val="466"/>
        </w:trPr>
        <w:tc>
          <w:tcPr>
            <w:tcW w:w="1242" w:type="dxa"/>
            <w:tcBorders>
              <w:top w:val="single" w:sz="4" w:space="0" w:color="auto"/>
              <w:left w:val="single" w:sz="4" w:space="0" w:color="auto"/>
              <w:bottom w:val="single" w:sz="4" w:space="0" w:color="auto"/>
              <w:right w:val="single" w:sz="4" w:space="0" w:color="auto"/>
            </w:tcBorders>
            <w:vAlign w:val="center"/>
          </w:tcPr>
          <w:p w14:paraId="2064391F" w14:textId="77777777" w:rsidR="00333AC0" w:rsidRPr="00E4667B" w:rsidRDefault="00333AC0" w:rsidP="00011A05">
            <w:pPr>
              <w:widowControl/>
              <w:jc w:val="center"/>
              <w:rPr>
                <w:rFonts w:eastAsia="Batang" w:cs="Arial"/>
                <w:i/>
                <w:iCs/>
                <w:color w:val="000000" w:themeColor="text1"/>
                <w:sz w:val="16"/>
                <w:szCs w:val="16"/>
                <w:lang w:val="en-AU" w:bidi="ar-SA"/>
              </w:rPr>
            </w:pPr>
            <w:r w:rsidRPr="00E4667B">
              <w:rPr>
                <w:rFonts w:eastAsia="Batang" w:cs="Arial"/>
                <w:i/>
                <w:iCs/>
                <w:color w:val="000000" w:themeColor="text1"/>
                <w:sz w:val="16"/>
                <w:szCs w:val="16"/>
                <w:lang w:val="en-AU" w:bidi="ar-SA"/>
              </w:rPr>
              <w:t>pmi</w:t>
            </w:r>
          </w:p>
        </w:tc>
        <w:tc>
          <w:tcPr>
            <w:tcW w:w="1276" w:type="dxa"/>
            <w:tcBorders>
              <w:top w:val="single" w:sz="4" w:space="0" w:color="auto"/>
              <w:left w:val="single" w:sz="4" w:space="0" w:color="auto"/>
              <w:bottom w:val="single" w:sz="4" w:space="0" w:color="auto"/>
              <w:right w:val="single" w:sz="4" w:space="0" w:color="auto"/>
            </w:tcBorders>
            <w:vAlign w:val="center"/>
          </w:tcPr>
          <w:p w14:paraId="20643920"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7429 - 8604</w:t>
            </w:r>
          </w:p>
        </w:tc>
        <w:tc>
          <w:tcPr>
            <w:tcW w:w="709" w:type="dxa"/>
            <w:tcBorders>
              <w:top w:val="single" w:sz="4" w:space="0" w:color="auto"/>
              <w:left w:val="single" w:sz="4" w:space="0" w:color="auto"/>
              <w:bottom w:val="single" w:sz="4" w:space="0" w:color="auto"/>
              <w:right w:val="single" w:sz="4" w:space="0" w:color="auto"/>
            </w:tcBorders>
            <w:vAlign w:val="center"/>
          </w:tcPr>
          <w:p w14:paraId="20643921"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1176</w:t>
            </w:r>
          </w:p>
        </w:tc>
        <w:tc>
          <w:tcPr>
            <w:tcW w:w="1417" w:type="dxa"/>
            <w:tcBorders>
              <w:top w:val="single" w:sz="4" w:space="0" w:color="auto"/>
              <w:left w:val="single" w:sz="4" w:space="0" w:color="auto"/>
              <w:bottom w:val="single" w:sz="4" w:space="0" w:color="auto"/>
              <w:right w:val="single" w:sz="4" w:space="0" w:color="auto"/>
            </w:tcBorders>
            <w:vAlign w:val="center"/>
          </w:tcPr>
          <w:p w14:paraId="20643922" w14:textId="77777777" w:rsidR="00333AC0" w:rsidRPr="00E4667B" w:rsidRDefault="00333AC0" w:rsidP="00011A05">
            <w:pPr>
              <w:widowControl/>
              <w:jc w:val="center"/>
              <w:rPr>
                <w:rFonts w:eastAsia="Batang" w:cs="Arial"/>
                <w:i/>
                <w:iCs/>
                <w:color w:val="000000" w:themeColor="text1"/>
                <w:sz w:val="16"/>
                <w:szCs w:val="16"/>
                <w:lang w:val="en-AU" w:bidi="ar-SA"/>
              </w:rPr>
            </w:pPr>
            <w:r w:rsidRPr="00E4667B">
              <w:rPr>
                <w:rFonts w:eastAsia="Batang" w:cs="Arial"/>
                <w:i/>
                <w:iCs/>
                <w:color w:val="000000" w:themeColor="text1"/>
                <w:sz w:val="16"/>
                <w:szCs w:val="16"/>
                <w:lang w:val="en-AU" w:bidi="ar-SA"/>
              </w:rPr>
              <w:t xml:space="preserve">Escherichia coli </w:t>
            </w:r>
            <w:r w:rsidRPr="00E4667B">
              <w:rPr>
                <w:rFonts w:eastAsia="Batang" w:cs="Arial"/>
                <w:iCs/>
                <w:color w:val="000000" w:themeColor="text1"/>
                <w:sz w:val="16"/>
                <w:szCs w:val="16"/>
                <w:lang w:val="en-AU" w:bidi="ar-SA"/>
              </w:rPr>
              <w:t>(strain K12)</w:t>
            </w:r>
          </w:p>
        </w:tc>
        <w:tc>
          <w:tcPr>
            <w:tcW w:w="993" w:type="dxa"/>
            <w:tcBorders>
              <w:top w:val="single" w:sz="4" w:space="0" w:color="auto"/>
              <w:left w:val="single" w:sz="4" w:space="0" w:color="auto"/>
              <w:bottom w:val="single" w:sz="4" w:space="0" w:color="auto"/>
              <w:right w:val="single" w:sz="4" w:space="0" w:color="auto"/>
            </w:tcBorders>
            <w:vAlign w:val="center"/>
          </w:tcPr>
          <w:p w14:paraId="20643923" w14:textId="77777777" w:rsidR="00333AC0" w:rsidRPr="00E4667B"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924" w14:textId="77777777" w:rsidR="00333AC0" w:rsidRPr="00E4667B" w:rsidRDefault="00333AC0" w:rsidP="0022311E">
            <w:pPr>
              <w:pStyle w:val="ListParagraph"/>
              <w:widowControl/>
              <w:numPr>
                <w:ilvl w:val="0"/>
                <w:numId w:val="8"/>
              </w:numPr>
              <w:ind w:left="175" w:hanging="142"/>
              <w:rPr>
                <w:rFonts w:eastAsia="Batang" w:cs="Arial"/>
                <w:iCs/>
                <w:color w:val="000000" w:themeColor="text1"/>
                <w:sz w:val="16"/>
                <w:szCs w:val="16"/>
                <w:lang w:bidi="ar-SA"/>
              </w:rPr>
            </w:pPr>
            <w:r>
              <w:rPr>
                <w:rFonts w:eastAsia="Batang" w:cs="Arial"/>
                <w:iCs/>
                <w:color w:val="000000" w:themeColor="text1"/>
                <w:sz w:val="16"/>
                <w:szCs w:val="16"/>
                <w:lang w:bidi="ar-SA"/>
              </w:rPr>
              <w:t>C</w:t>
            </w:r>
            <w:r w:rsidRPr="00E4667B">
              <w:rPr>
                <w:rFonts w:eastAsia="Batang" w:cs="Arial"/>
                <w:iCs/>
                <w:color w:val="000000" w:themeColor="text1"/>
                <w:sz w:val="16"/>
                <w:szCs w:val="16"/>
                <w:lang w:bidi="ar-SA"/>
              </w:rPr>
              <w:t xml:space="preserve">oding sequence of the </w:t>
            </w:r>
            <w:r w:rsidRPr="00E4667B">
              <w:rPr>
                <w:rFonts w:eastAsia="Batang" w:cs="Arial"/>
                <w:i/>
                <w:iCs/>
                <w:color w:val="000000" w:themeColor="text1"/>
                <w:sz w:val="16"/>
                <w:szCs w:val="16"/>
                <w:lang w:bidi="ar-SA"/>
              </w:rPr>
              <w:t>phosphomannose isomerase</w:t>
            </w:r>
            <w:r w:rsidRPr="00E4667B">
              <w:rPr>
                <w:rFonts w:eastAsia="Batang" w:cs="Arial"/>
                <w:iCs/>
                <w:color w:val="000000" w:themeColor="text1"/>
                <w:sz w:val="16"/>
                <w:szCs w:val="16"/>
                <w:lang w:bidi="ar-SA"/>
              </w:rPr>
              <w:t xml:space="preserve"> gene (GenBank # M15380)</w:t>
            </w:r>
          </w:p>
        </w:tc>
        <w:tc>
          <w:tcPr>
            <w:tcW w:w="1559" w:type="dxa"/>
            <w:tcBorders>
              <w:top w:val="single" w:sz="4" w:space="0" w:color="auto"/>
              <w:left w:val="single" w:sz="4" w:space="0" w:color="auto"/>
              <w:bottom w:val="single" w:sz="4" w:space="0" w:color="auto"/>
              <w:right w:val="single" w:sz="4" w:space="0" w:color="auto"/>
            </w:tcBorders>
            <w:vAlign w:val="center"/>
          </w:tcPr>
          <w:p w14:paraId="20643925" w14:textId="77777777" w:rsidR="00333AC0" w:rsidRPr="00E4667B"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Miles &amp; Guest </w:t>
            </w:r>
            <w:r>
              <w:rPr>
                <w:rFonts w:eastAsia="Batang" w:cs="Arial"/>
                <w:iCs/>
                <w:noProof/>
                <w:color w:val="000000" w:themeColor="text1"/>
                <w:sz w:val="16"/>
                <w:szCs w:val="16"/>
                <w:lang w:val="en-AU" w:bidi="ar-SA"/>
              </w:rPr>
              <w:t>(1984)</w:t>
            </w:r>
          </w:p>
        </w:tc>
      </w:tr>
      <w:tr w:rsidR="00333AC0" w:rsidRPr="00E308F0" w14:paraId="2064392E" w14:textId="77777777" w:rsidTr="00011A05">
        <w:trPr>
          <w:trHeight w:val="466"/>
        </w:trPr>
        <w:tc>
          <w:tcPr>
            <w:tcW w:w="1242" w:type="dxa"/>
            <w:tcBorders>
              <w:top w:val="single" w:sz="4" w:space="0" w:color="auto"/>
              <w:left w:val="single" w:sz="4" w:space="0" w:color="auto"/>
              <w:bottom w:val="single" w:sz="4" w:space="0" w:color="auto"/>
              <w:right w:val="single" w:sz="4" w:space="0" w:color="auto"/>
            </w:tcBorders>
            <w:vAlign w:val="center"/>
          </w:tcPr>
          <w:p w14:paraId="20643927"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Intervening sequence</w:t>
            </w:r>
          </w:p>
        </w:tc>
        <w:tc>
          <w:tcPr>
            <w:tcW w:w="1276" w:type="dxa"/>
            <w:tcBorders>
              <w:top w:val="single" w:sz="4" w:space="0" w:color="auto"/>
              <w:left w:val="single" w:sz="4" w:space="0" w:color="auto"/>
              <w:bottom w:val="single" w:sz="4" w:space="0" w:color="auto"/>
              <w:right w:val="single" w:sz="4" w:space="0" w:color="auto"/>
            </w:tcBorders>
            <w:vAlign w:val="center"/>
          </w:tcPr>
          <w:p w14:paraId="20643928"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8605 - 8664</w:t>
            </w:r>
          </w:p>
        </w:tc>
        <w:tc>
          <w:tcPr>
            <w:tcW w:w="709" w:type="dxa"/>
            <w:tcBorders>
              <w:top w:val="single" w:sz="4" w:space="0" w:color="auto"/>
              <w:left w:val="single" w:sz="4" w:space="0" w:color="auto"/>
              <w:bottom w:val="single" w:sz="4" w:space="0" w:color="auto"/>
              <w:right w:val="single" w:sz="4" w:space="0" w:color="auto"/>
            </w:tcBorders>
            <w:vAlign w:val="center"/>
          </w:tcPr>
          <w:p w14:paraId="20643929"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60</w:t>
            </w:r>
          </w:p>
        </w:tc>
        <w:tc>
          <w:tcPr>
            <w:tcW w:w="1417" w:type="dxa"/>
            <w:tcBorders>
              <w:top w:val="single" w:sz="4" w:space="0" w:color="auto"/>
              <w:left w:val="single" w:sz="4" w:space="0" w:color="auto"/>
              <w:bottom w:val="single" w:sz="4" w:space="0" w:color="auto"/>
              <w:right w:val="single" w:sz="4" w:space="0" w:color="auto"/>
            </w:tcBorders>
            <w:vAlign w:val="center"/>
          </w:tcPr>
          <w:p w14:paraId="2064392A" w14:textId="77777777" w:rsidR="00333AC0" w:rsidRPr="00E4667B"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vAlign w:val="center"/>
          </w:tcPr>
          <w:p w14:paraId="2064392B"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vAlign w:val="center"/>
          </w:tcPr>
          <w:p w14:paraId="2064392C" w14:textId="77777777" w:rsidR="00333AC0" w:rsidRPr="00E4667B" w:rsidRDefault="00333AC0" w:rsidP="00011A05">
            <w:pPr>
              <w:widowControl/>
              <w:ind w:left="34"/>
              <w:jc w:val="center"/>
              <w:rPr>
                <w:rFonts w:eastAsia="Batang" w:cs="Arial"/>
                <w:iCs/>
                <w:color w:val="000000" w:themeColor="text1"/>
                <w:sz w:val="16"/>
                <w:szCs w:val="16"/>
                <w:lang w:bidi="ar-SA"/>
              </w:rPr>
            </w:pPr>
          </w:p>
        </w:tc>
        <w:tc>
          <w:tcPr>
            <w:tcW w:w="1559" w:type="dxa"/>
            <w:tcBorders>
              <w:top w:val="single" w:sz="4" w:space="0" w:color="auto"/>
              <w:left w:val="single" w:sz="4" w:space="0" w:color="auto"/>
              <w:bottom w:val="single" w:sz="4" w:space="0" w:color="auto"/>
              <w:right w:val="single" w:sz="4" w:space="0" w:color="auto"/>
            </w:tcBorders>
            <w:vAlign w:val="center"/>
          </w:tcPr>
          <w:p w14:paraId="2064392D"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r>
      <w:tr w:rsidR="00333AC0" w:rsidRPr="00E308F0" w14:paraId="20643937" w14:textId="77777777" w:rsidTr="00011A05">
        <w:trPr>
          <w:trHeight w:val="466"/>
        </w:trPr>
        <w:tc>
          <w:tcPr>
            <w:tcW w:w="1242" w:type="dxa"/>
            <w:tcBorders>
              <w:top w:val="single" w:sz="4" w:space="0" w:color="auto"/>
              <w:left w:val="single" w:sz="4" w:space="0" w:color="auto"/>
              <w:bottom w:val="single" w:sz="4" w:space="0" w:color="auto"/>
              <w:right w:val="single" w:sz="4" w:space="0" w:color="auto"/>
            </w:tcBorders>
            <w:vAlign w:val="center"/>
          </w:tcPr>
          <w:p w14:paraId="2064392F"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
                <w:iCs/>
                <w:color w:val="000000" w:themeColor="text1"/>
                <w:sz w:val="16"/>
                <w:szCs w:val="16"/>
                <w:lang w:val="en-AU" w:bidi="ar-SA"/>
              </w:rPr>
              <w:t>NOS</w:t>
            </w:r>
            <w:r w:rsidRPr="00E4667B">
              <w:rPr>
                <w:rFonts w:eastAsia="Batang" w:cs="Arial"/>
                <w:iCs/>
                <w:color w:val="000000" w:themeColor="text1"/>
                <w:sz w:val="16"/>
                <w:szCs w:val="16"/>
                <w:lang w:val="en-AU" w:bidi="ar-SA"/>
              </w:rPr>
              <w:t xml:space="preserve"> 3’</w:t>
            </w:r>
          </w:p>
        </w:tc>
        <w:tc>
          <w:tcPr>
            <w:tcW w:w="1276" w:type="dxa"/>
            <w:tcBorders>
              <w:top w:val="single" w:sz="4" w:space="0" w:color="auto"/>
              <w:left w:val="single" w:sz="4" w:space="0" w:color="auto"/>
              <w:bottom w:val="single" w:sz="4" w:space="0" w:color="auto"/>
              <w:right w:val="single" w:sz="4" w:space="0" w:color="auto"/>
            </w:tcBorders>
            <w:vAlign w:val="center"/>
          </w:tcPr>
          <w:p w14:paraId="20643930"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8665 - 8917</w:t>
            </w:r>
          </w:p>
        </w:tc>
        <w:tc>
          <w:tcPr>
            <w:tcW w:w="709" w:type="dxa"/>
            <w:tcBorders>
              <w:top w:val="single" w:sz="4" w:space="0" w:color="auto"/>
              <w:left w:val="single" w:sz="4" w:space="0" w:color="auto"/>
              <w:bottom w:val="single" w:sz="4" w:space="0" w:color="auto"/>
              <w:right w:val="single" w:sz="4" w:space="0" w:color="auto"/>
            </w:tcBorders>
            <w:vAlign w:val="center"/>
          </w:tcPr>
          <w:p w14:paraId="20643931"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253</w:t>
            </w:r>
          </w:p>
        </w:tc>
        <w:tc>
          <w:tcPr>
            <w:tcW w:w="1417" w:type="dxa"/>
            <w:tcBorders>
              <w:top w:val="single" w:sz="4" w:space="0" w:color="auto"/>
              <w:left w:val="single" w:sz="4" w:space="0" w:color="auto"/>
              <w:bottom w:val="single" w:sz="4" w:space="0" w:color="auto"/>
              <w:right w:val="single" w:sz="4" w:space="0" w:color="auto"/>
            </w:tcBorders>
            <w:vAlign w:val="center"/>
          </w:tcPr>
          <w:p w14:paraId="20643932" w14:textId="77777777" w:rsidR="00333AC0" w:rsidRPr="00E4667B" w:rsidRDefault="00333AC0" w:rsidP="00011A05">
            <w:pPr>
              <w:widowControl/>
              <w:jc w:val="center"/>
              <w:rPr>
                <w:rFonts w:eastAsia="Batang" w:cs="Arial"/>
                <w:i/>
                <w:iCs/>
                <w:color w:val="000000" w:themeColor="text1"/>
                <w:sz w:val="16"/>
                <w:szCs w:val="16"/>
                <w:lang w:val="en-AU" w:bidi="ar-SA"/>
              </w:rPr>
            </w:pPr>
            <w:r w:rsidRPr="00E4667B">
              <w:rPr>
                <w:rFonts w:eastAsia="Batang" w:cs="Arial"/>
                <w:i/>
                <w:iCs/>
                <w:color w:val="000000" w:themeColor="text1"/>
                <w:sz w:val="16"/>
                <w:szCs w:val="16"/>
                <w:lang w:val="en-AU" w:bidi="ar-SA"/>
              </w:rPr>
              <w:t>Agrobacterium tumefaciens</w:t>
            </w:r>
          </w:p>
        </w:tc>
        <w:tc>
          <w:tcPr>
            <w:tcW w:w="993" w:type="dxa"/>
            <w:tcBorders>
              <w:top w:val="single" w:sz="4" w:space="0" w:color="auto"/>
              <w:left w:val="single" w:sz="4" w:space="0" w:color="auto"/>
              <w:bottom w:val="single" w:sz="4" w:space="0" w:color="auto"/>
              <w:right w:val="single" w:sz="4" w:space="0" w:color="auto"/>
            </w:tcBorders>
            <w:vAlign w:val="center"/>
          </w:tcPr>
          <w:p w14:paraId="20643933" w14:textId="77777777" w:rsidR="00333AC0" w:rsidRPr="00E4667B"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clockwise</w:t>
            </w:r>
          </w:p>
        </w:tc>
        <w:tc>
          <w:tcPr>
            <w:tcW w:w="2126" w:type="dxa"/>
            <w:tcBorders>
              <w:top w:val="single" w:sz="4" w:space="0" w:color="auto"/>
              <w:left w:val="single" w:sz="4" w:space="0" w:color="auto"/>
              <w:bottom w:val="single" w:sz="4" w:space="0" w:color="auto"/>
              <w:right w:val="single" w:sz="4" w:space="0" w:color="auto"/>
            </w:tcBorders>
            <w:vAlign w:val="center"/>
          </w:tcPr>
          <w:p w14:paraId="20643934" w14:textId="77777777" w:rsidR="00333AC0" w:rsidRPr="00E4667B" w:rsidRDefault="00333AC0" w:rsidP="0022311E">
            <w:pPr>
              <w:pStyle w:val="ListParagraph"/>
              <w:widowControl/>
              <w:numPr>
                <w:ilvl w:val="0"/>
                <w:numId w:val="7"/>
              </w:numPr>
              <w:ind w:left="175" w:hanging="142"/>
              <w:jc w:val="center"/>
              <w:rPr>
                <w:rFonts w:eastAsia="Batang" w:cs="Arial"/>
                <w:iCs/>
                <w:color w:val="000000" w:themeColor="text1"/>
                <w:sz w:val="16"/>
                <w:szCs w:val="16"/>
                <w:lang w:bidi="ar-SA"/>
              </w:rPr>
            </w:pPr>
            <w:r w:rsidRPr="00E4667B">
              <w:rPr>
                <w:rFonts w:eastAsia="Batang" w:cs="Arial"/>
                <w:iCs/>
                <w:color w:val="000000" w:themeColor="text1"/>
                <w:sz w:val="16"/>
                <w:szCs w:val="16"/>
                <w:lang w:bidi="ar-SA"/>
              </w:rPr>
              <w:t xml:space="preserve">Terminator region from the </w:t>
            </w:r>
            <w:r w:rsidRPr="00E4667B">
              <w:rPr>
                <w:rFonts w:eastAsia="Batang" w:cs="Arial"/>
                <w:i/>
                <w:iCs/>
                <w:color w:val="000000" w:themeColor="text1"/>
                <w:sz w:val="16"/>
                <w:szCs w:val="16"/>
                <w:lang w:bidi="ar-SA"/>
              </w:rPr>
              <w:t>nopaline synthase gene</w:t>
            </w:r>
            <w:r w:rsidRPr="00E4667B">
              <w:rPr>
                <w:rFonts w:eastAsia="Batang" w:cs="Arial"/>
                <w:iCs/>
                <w:color w:val="000000" w:themeColor="text1"/>
                <w:sz w:val="16"/>
                <w:szCs w:val="16"/>
                <w:lang w:bidi="ar-SA"/>
              </w:rPr>
              <w:t xml:space="preserve"> (GenBank # V00087)</w:t>
            </w:r>
          </w:p>
          <w:p w14:paraId="20643935" w14:textId="77777777" w:rsidR="00333AC0" w:rsidRPr="00E4667B" w:rsidRDefault="00333AC0" w:rsidP="0022311E">
            <w:pPr>
              <w:pStyle w:val="ListParagraph"/>
              <w:widowControl/>
              <w:numPr>
                <w:ilvl w:val="0"/>
                <w:numId w:val="7"/>
              </w:numPr>
              <w:ind w:left="175" w:hanging="142"/>
              <w:jc w:val="center"/>
              <w:rPr>
                <w:rFonts w:eastAsia="Batang" w:cs="Arial"/>
                <w:iCs/>
                <w:color w:val="000000" w:themeColor="text1"/>
                <w:sz w:val="16"/>
                <w:szCs w:val="16"/>
                <w:lang w:bidi="ar-SA"/>
              </w:rPr>
            </w:pPr>
            <w:r w:rsidRPr="00E4667B">
              <w:rPr>
                <w:rFonts w:eastAsia="Batang" w:cs="Arial"/>
                <w:iCs/>
                <w:color w:val="000000" w:themeColor="text1"/>
                <w:sz w:val="16"/>
                <w:szCs w:val="16"/>
                <w:lang w:bidi="ar-SA"/>
              </w:rPr>
              <w:t xml:space="preserve">Directs polyadenylation of the </w:t>
            </w:r>
            <w:r w:rsidRPr="00E4667B">
              <w:rPr>
                <w:rFonts w:eastAsia="Batang" w:cs="Arial"/>
                <w:i/>
                <w:iCs/>
                <w:color w:val="000000" w:themeColor="text1"/>
                <w:sz w:val="16"/>
                <w:szCs w:val="16"/>
                <w:lang w:bidi="ar-SA"/>
              </w:rPr>
              <w:t>pmi</w:t>
            </w:r>
            <w:r w:rsidRPr="00E4667B">
              <w:rPr>
                <w:rFonts w:eastAsia="Batang" w:cs="Arial"/>
                <w:iCs/>
                <w:color w:val="000000" w:themeColor="text1"/>
                <w:sz w:val="16"/>
                <w:szCs w:val="16"/>
                <w:lang w:bidi="ar-SA"/>
              </w:rPr>
              <w:t xml:space="preserve"> gene</w:t>
            </w:r>
          </w:p>
        </w:tc>
        <w:tc>
          <w:tcPr>
            <w:tcW w:w="1559" w:type="dxa"/>
            <w:tcBorders>
              <w:top w:val="single" w:sz="4" w:space="0" w:color="auto"/>
              <w:left w:val="single" w:sz="4" w:space="0" w:color="auto"/>
              <w:bottom w:val="single" w:sz="4" w:space="0" w:color="auto"/>
              <w:right w:val="single" w:sz="4" w:space="0" w:color="auto"/>
            </w:tcBorders>
            <w:vAlign w:val="center"/>
          </w:tcPr>
          <w:p w14:paraId="20643936" w14:textId="77777777" w:rsidR="00333AC0" w:rsidRPr="00E4667B" w:rsidRDefault="00333AC0" w:rsidP="00011A05">
            <w:pPr>
              <w:widowControl/>
              <w:ind w:left="34"/>
              <w:jc w:val="center"/>
              <w:rPr>
                <w:rFonts w:eastAsia="Batang" w:cs="Arial"/>
                <w:iCs/>
                <w:color w:val="000000" w:themeColor="text1"/>
                <w:sz w:val="16"/>
                <w:szCs w:val="16"/>
                <w:lang w:val="en-AU" w:bidi="ar-SA"/>
              </w:rPr>
            </w:pPr>
            <w:r>
              <w:rPr>
                <w:rFonts w:eastAsia="Batang" w:cs="Arial"/>
                <w:iCs/>
                <w:color w:val="000000" w:themeColor="text1"/>
                <w:sz w:val="16"/>
                <w:szCs w:val="16"/>
                <w:lang w:bidi="ar-SA"/>
              </w:rPr>
              <w:t xml:space="preserve">Depicker et al </w:t>
            </w:r>
            <w:r>
              <w:rPr>
                <w:rFonts w:eastAsia="Batang" w:cs="Arial"/>
                <w:iCs/>
                <w:noProof/>
                <w:color w:val="000000" w:themeColor="text1"/>
                <w:sz w:val="16"/>
                <w:szCs w:val="16"/>
                <w:lang w:bidi="ar-SA"/>
              </w:rPr>
              <w:t>(1982)</w:t>
            </w:r>
          </w:p>
        </w:tc>
      </w:tr>
      <w:tr w:rsidR="00333AC0" w:rsidRPr="00E308F0" w14:paraId="2064393F" w14:textId="77777777" w:rsidTr="00011A05">
        <w:trPr>
          <w:trHeight w:val="504"/>
        </w:trPr>
        <w:tc>
          <w:tcPr>
            <w:tcW w:w="12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8" w14:textId="77777777" w:rsidR="00333AC0" w:rsidRPr="00E4667B" w:rsidRDefault="00333AC0" w:rsidP="00011A05">
            <w:pPr>
              <w:widowControl/>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 xml:space="preserve">Ti plasmid region </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9"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8918 - 9005</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A"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88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B" w14:textId="77777777" w:rsidR="00333AC0" w:rsidRPr="00E4667B" w:rsidRDefault="00333AC0" w:rsidP="00011A05">
            <w:pPr>
              <w:widowControl/>
              <w:jc w:val="center"/>
              <w:rPr>
                <w:rFonts w:eastAsia="Batang" w:cs="Arial"/>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93C" w14:textId="77777777" w:rsidR="00333AC0" w:rsidRPr="00E4667B" w:rsidRDefault="00333AC0" w:rsidP="00011A05">
            <w:pPr>
              <w:widowControl/>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D" w14:textId="77777777" w:rsidR="00333AC0" w:rsidRPr="00E4667B" w:rsidRDefault="00333AC0" w:rsidP="00011A05">
            <w:pPr>
              <w:widowControl/>
              <w:jc w:val="center"/>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3E" w14:textId="77777777" w:rsidR="00333AC0" w:rsidRPr="00E4667B" w:rsidRDefault="00333AC0" w:rsidP="00011A05">
            <w:pPr>
              <w:widowControl/>
              <w:jc w:val="center"/>
              <w:rPr>
                <w:rFonts w:eastAsia="Batang" w:cs="Arial"/>
                <w:iCs/>
                <w:color w:val="000000" w:themeColor="text1"/>
                <w:sz w:val="16"/>
                <w:szCs w:val="16"/>
                <w:lang w:val="en-AU" w:bidi="ar-SA"/>
              </w:rPr>
            </w:pPr>
          </w:p>
        </w:tc>
      </w:tr>
      <w:tr w:rsidR="00333AC0" w:rsidRPr="00E308F0" w14:paraId="20643947" w14:textId="77777777" w:rsidTr="00011A05">
        <w:trPr>
          <w:trHeight w:val="419"/>
        </w:trPr>
        <w:tc>
          <w:tcPr>
            <w:tcW w:w="124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0"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Left Border</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1"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9006 - 9030</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2" w14:textId="77777777" w:rsidR="00333AC0" w:rsidRPr="00E4667B" w:rsidRDefault="00333AC0" w:rsidP="00011A05">
            <w:pPr>
              <w:widowControl/>
              <w:jc w:val="center"/>
              <w:rPr>
                <w:rFonts w:eastAsia="Batang" w:cs="Arial"/>
                <w:iCs/>
                <w:color w:val="000000" w:themeColor="text1"/>
                <w:sz w:val="16"/>
                <w:szCs w:val="16"/>
                <w:lang w:val="en-AU" w:bidi="ar-SA"/>
              </w:rPr>
            </w:pPr>
            <w:r w:rsidRPr="00E4667B">
              <w:rPr>
                <w:rFonts w:eastAsia="Batang" w:cs="Arial"/>
                <w:iCs/>
                <w:color w:val="000000" w:themeColor="text1"/>
                <w:sz w:val="16"/>
                <w:szCs w:val="16"/>
                <w:lang w:val="en-AU"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3" w14:textId="77777777" w:rsidR="00333AC0" w:rsidRPr="00E4667B" w:rsidRDefault="00333AC0" w:rsidP="00011A05">
            <w:pPr>
              <w:widowControl/>
              <w:jc w:val="center"/>
              <w:rPr>
                <w:rFonts w:eastAsia="Batang" w:cs="Arial"/>
                <w:i/>
                <w:iCs/>
                <w:color w:val="000000" w:themeColor="text1"/>
                <w:sz w:val="16"/>
                <w:szCs w:val="16"/>
                <w:lang w:val="en-AU" w:bidi="ar-SA"/>
              </w:rPr>
            </w:pP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43944"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5"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643946" w14:textId="77777777" w:rsidR="00333AC0" w:rsidRPr="00E4667B" w:rsidRDefault="00333AC0" w:rsidP="00011A05">
            <w:pPr>
              <w:widowControl/>
              <w:ind w:left="34"/>
              <w:jc w:val="center"/>
              <w:rPr>
                <w:rFonts w:eastAsia="Batang" w:cs="Arial"/>
                <w:iCs/>
                <w:color w:val="000000" w:themeColor="text1"/>
                <w:sz w:val="16"/>
                <w:szCs w:val="16"/>
                <w:lang w:val="en-AU" w:bidi="ar-SA"/>
              </w:rPr>
            </w:pPr>
          </w:p>
        </w:tc>
      </w:tr>
    </w:tbl>
    <w:p w14:paraId="20643948" w14:textId="77777777" w:rsidR="00333AC0" w:rsidRPr="00E171D8" w:rsidRDefault="00333AC0" w:rsidP="00011A05">
      <w:pPr>
        <w:pStyle w:val="Heading3"/>
      </w:pPr>
      <w:r w:rsidRPr="00E171D8">
        <w:t xml:space="preserve">3.2.1 </w:t>
      </w:r>
      <w:r w:rsidRPr="00E171D8">
        <w:tab/>
      </w:r>
      <w:r w:rsidRPr="006676EC">
        <w:rPr>
          <w:i/>
        </w:rPr>
        <w:t>crtI</w:t>
      </w:r>
      <w:r>
        <w:t xml:space="preserve"> cassette</w:t>
      </w:r>
    </w:p>
    <w:p w14:paraId="20643949" w14:textId="77777777" w:rsidR="00333AC0" w:rsidRPr="00B275D4" w:rsidRDefault="00333AC0" w:rsidP="00011A05">
      <w:pPr>
        <w:widowControl/>
        <w:autoSpaceDE w:val="0"/>
        <w:autoSpaceDN w:val="0"/>
        <w:adjustRightInd w:val="0"/>
        <w:rPr>
          <w:rFonts w:cs="Arial"/>
          <w:szCs w:val="22"/>
          <w:lang w:eastAsia="en-GB" w:bidi="ar-SA"/>
        </w:rPr>
      </w:pPr>
      <w:r w:rsidRPr="00E171D8">
        <w:rPr>
          <w:rFonts w:cs="Arial"/>
          <w:szCs w:val="22"/>
          <w:lang w:eastAsia="en-GB" w:bidi="ar-SA"/>
        </w:rPr>
        <w:t>T</w:t>
      </w:r>
      <w:r>
        <w:rPr>
          <w:rFonts w:cs="Arial"/>
          <w:szCs w:val="22"/>
          <w:lang w:eastAsia="en-GB" w:bidi="ar-SA"/>
        </w:rPr>
        <w:t>ranscription of t</w:t>
      </w:r>
      <w:r w:rsidRPr="00E171D8">
        <w:rPr>
          <w:rFonts w:cs="Arial"/>
          <w:szCs w:val="22"/>
          <w:lang w:eastAsia="en-GB" w:bidi="ar-SA"/>
        </w:rPr>
        <w:t xml:space="preserve">he </w:t>
      </w:r>
      <w:r w:rsidRPr="00E171D8">
        <w:rPr>
          <w:rFonts w:cs="Arial"/>
          <w:i/>
          <w:iCs/>
          <w:szCs w:val="22"/>
          <w:lang w:eastAsia="en-GB" w:bidi="ar-SA"/>
        </w:rPr>
        <w:t xml:space="preserve">crtI </w:t>
      </w:r>
      <w:r w:rsidRPr="00E171D8">
        <w:rPr>
          <w:rFonts w:cs="Arial"/>
          <w:szCs w:val="22"/>
          <w:lang w:eastAsia="en-GB" w:bidi="ar-SA"/>
        </w:rPr>
        <w:t xml:space="preserve">gene </w:t>
      </w:r>
      <w:r>
        <w:rPr>
          <w:rFonts w:cs="Arial"/>
          <w:szCs w:val="22"/>
          <w:lang w:eastAsia="en-GB" w:bidi="ar-SA"/>
        </w:rPr>
        <w:t xml:space="preserve">is controlled by the endosperm-specific </w:t>
      </w:r>
      <w:r w:rsidRPr="00FB7680">
        <w:rPr>
          <w:rFonts w:cs="Arial"/>
          <w:szCs w:val="22"/>
          <w:lang w:eastAsia="en-GB" w:bidi="ar-SA"/>
        </w:rPr>
        <w:t xml:space="preserve">rice </w:t>
      </w:r>
      <w:r w:rsidRPr="00FB7680">
        <w:rPr>
          <w:rFonts w:cs="Arial"/>
          <w:i/>
          <w:szCs w:val="22"/>
          <w:lang w:eastAsia="en-GB" w:bidi="ar-SA"/>
        </w:rPr>
        <w:t>GluA-2 (glutelin)</w:t>
      </w:r>
      <w:r w:rsidRPr="00FB7680">
        <w:rPr>
          <w:rFonts w:cs="Arial"/>
          <w:szCs w:val="22"/>
          <w:lang w:eastAsia="en-GB" w:bidi="ar-SA"/>
        </w:rPr>
        <w:t xml:space="preserve"> promoter. Glutelin is the major protein in rice seed, accounting for approximately 80% of total endosperm protein </w:t>
      </w:r>
      <w:r w:rsidRPr="00FB7680">
        <w:rPr>
          <w:rFonts w:eastAsia="Batang" w:cs="Arial"/>
          <w:iCs/>
          <w:noProof/>
          <w:color w:val="000000" w:themeColor="text1"/>
          <w:szCs w:val="22"/>
          <w:lang w:val="en-AU" w:bidi="ar-SA"/>
        </w:rPr>
        <w:t>(Takaiwa et al. 1987)</w:t>
      </w:r>
      <w:r w:rsidRPr="00FB7680">
        <w:rPr>
          <w:rFonts w:eastAsia="Batang" w:cs="Arial"/>
          <w:iCs/>
          <w:color w:val="000000" w:themeColor="text1"/>
          <w:szCs w:val="22"/>
          <w:lang w:val="en-AU" w:bidi="ar-SA"/>
        </w:rPr>
        <w:t xml:space="preserve">. </w:t>
      </w:r>
      <w:r w:rsidRPr="00FB7680">
        <w:rPr>
          <w:rFonts w:cs="Arial"/>
          <w:szCs w:val="22"/>
          <w:lang w:eastAsia="en-GB" w:bidi="ar-SA"/>
        </w:rPr>
        <w:t>Thus, the promoter ensures strong transcription in developing endosperm tissu</w:t>
      </w:r>
      <w:r>
        <w:rPr>
          <w:rFonts w:cs="Arial"/>
          <w:szCs w:val="22"/>
          <w:lang w:eastAsia="en-GB" w:bidi="ar-SA"/>
        </w:rPr>
        <w:t>e. To further enhance effective</w:t>
      </w:r>
      <w:r w:rsidRPr="00FB7680">
        <w:rPr>
          <w:rFonts w:cs="Arial"/>
          <w:szCs w:val="22"/>
          <w:lang w:eastAsia="en-GB" w:bidi="ar-SA"/>
        </w:rPr>
        <w:t xml:space="preserve">ness of the </w:t>
      </w:r>
      <w:r w:rsidRPr="00FB7680">
        <w:rPr>
          <w:rFonts w:cs="Arial"/>
          <w:i/>
          <w:szCs w:val="22"/>
          <w:lang w:eastAsia="en-GB" w:bidi="ar-SA"/>
        </w:rPr>
        <w:t>crtI</w:t>
      </w:r>
      <w:r w:rsidRPr="00FB7680">
        <w:rPr>
          <w:rFonts w:cs="Arial"/>
          <w:szCs w:val="22"/>
          <w:lang w:eastAsia="en-GB" w:bidi="ar-SA"/>
        </w:rPr>
        <w:t xml:space="preserve"> gene, it is fused to the transit peptide sequence of the pea Rubisco small subunit (RUBISCO SSU) to ensure targeting to the endosperm plastids </w:t>
      </w:r>
      <w:r w:rsidRPr="00FB7680">
        <w:rPr>
          <w:rFonts w:eastAsia="Batang" w:cs="Arial"/>
          <w:iCs/>
          <w:noProof/>
          <w:color w:val="000000" w:themeColor="text1"/>
          <w:szCs w:val="22"/>
          <w:lang w:bidi="ar-SA"/>
        </w:rPr>
        <w:t>(Beyer et al. 2002)</w:t>
      </w:r>
      <w:r w:rsidRPr="00FB7680">
        <w:rPr>
          <w:rFonts w:eastAsia="Batang" w:cs="Arial"/>
          <w:iCs/>
          <w:color w:val="000000" w:themeColor="text1"/>
          <w:szCs w:val="22"/>
          <w:lang w:bidi="ar-SA"/>
        </w:rPr>
        <w:t xml:space="preserve">. </w:t>
      </w:r>
      <w:r w:rsidRPr="00FB7680">
        <w:rPr>
          <w:rFonts w:cs="Arial"/>
          <w:szCs w:val="22"/>
          <w:lang w:eastAsia="en-GB" w:bidi="ar-SA"/>
        </w:rPr>
        <w:t>The plastids naturally contain the lycopene precursor geranylgeranyl diphosphate (GGPP) that is then used as</w:t>
      </w:r>
      <w:r>
        <w:rPr>
          <w:rFonts w:cs="Arial"/>
          <w:szCs w:val="22"/>
          <w:lang w:eastAsia="en-GB" w:bidi="ar-SA"/>
        </w:rPr>
        <w:t xml:space="preserve"> a substrate to produce phytoene (see discussion </w:t>
      </w:r>
      <w:r w:rsidRPr="00B275D4">
        <w:rPr>
          <w:rFonts w:cs="Arial"/>
          <w:szCs w:val="22"/>
          <w:lang w:eastAsia="en-GB" w:bidi="ar-SA"/>
        </w:rPr>
        <w:t>and Figure 7</w:t>
      </w:r>
      <w:r w:rsidRPr="00B275D4">
        <w:rPr>
          <w:rFonts w:cs="Arial"/>
          <w:szCs w:val="22"/>
          <w:lang w:eastAsia="en-GB"/>
        </w:rPr>
        <w:t xml:space="preserve"> in Section 4.1); the CRTI protein catalyses the conversion of 15-</w:t>
      </w:r>
      <w:r w:rsidRPr="00B275D4">
        <w:rPr>
          <w:rFonts w:cs="Arial"/>
          <w:i/>
          <w:szCs w:val="22"/>
          <w:lang w:eastAsia="en-GB"/>
        </w:rPr>
        <w:t>cis</w:t>
      </w:r>
      <w:r w:rsidRPr="00B275D4">
        <w:rPr>
          <w:rFonts w:cs="Arial"/>
          <w:szCs w:val="22"/>
          <w:lang w:eastAsia="en-GB"/>
        </w:rPr>
        <w:t>-phytoene to all-</w:t>
      </w:r>
      <w:r w:rsidRPr="00B275D4">
        <w:rPr>
          <w:rFonts w:cs="Arial"/>
          <w:i/>
          <w:szCs w:val="22"/>
          <w:lang w:eastAsia="en-GB"/>
        </w:rPr>
        <w:t>trans</w:t>
      </w:r>
      <w:r w:rsidRPr="00B275D4">
        <w:rPr>
          <w:rFonts w:cs="Arial"/>
          <w:szCs w:val="22"/>
          <w:lang w:eastAsia="en-GB"/>
        </w:rPr>
        <w:t xml:space="preserve">-lycopene. Transcription termination of the </w:t>
      </w:r>
      <w:r w:rsidRPr="00B275D4">
        <w:rPr>
          <w:rFonts w:cs="Arial"/>
          <w:i/>
          <w:szCs w:val="22"/>
          <w:lang w:eastAsia="en-GB"/>
        </w:rPr>
        <w:t>crtI</w:t>
      </w:r>
      <w:r w:rsidRPr="00B275D4">
        <w:rPr>
          <w:rFonts w:cs="Arial"/>
          <w:szCs w:val="22"/>
          <w:lang w:eastAsia="en-GB"/>
        </w:rPr>
        <w:t xml:space="preserve"> gene is provided by the polyadenylation signal and 3’ untranslated region (UTR) from the </w:t>
      </w:r>
      <w:r w:rsidRPr="00B275D4">
        <w:rPr>
          <w:rFonts w:cs="Arial"/>
          <w:i/>
          <w:szCs w:val="22"/>
          <w:lang w:eastAsia="en-GB"/>
        </w:rPr>
        <w:t>nopaline synthase</w:t>
      </w:r>
      <w:r w:rsidRPr="00B275D4">
        <w:rPr>
          <w:rFonts w:cs="Arial"/>
          <w:szCs w:val="22"/>
          <w:lang w:eastAsia="en-GB"/>
        </w:rPr>
        <w:t xml:space="preserve"> (</w:t>
      </w:r>
      <w:r w:rsidRPr="00B275D4">
        <w:rPr>
          <w:rFonts w:cs="Arial"/>
          <w:i/>
          <w:szCs w:val="22"/>
          <w:lang w:eastAsia="en-GB"/>
        </w:rPr>
        <w:t>NOS)</w:t>
      </w:r>
      <w:r w:rsidRPr="00B275D4">
        <w:rPr>
          <w:rFonts w:cs="Arial"/>
          <w:szCs w:val="22"/>
          <w:lang w:eastAsia="en-GB"/>
        </w:rPr>
        <w:t xml:space="preserve"> gene of </w:t>
      </w:r>
      <w:r w:rsidRPr="00B275D4">
        <w:rPr>
          <w:rFonts w:cs="Arial"/>
          <w:i/>
          <w:szCs w:val="22"/>
          <w:lang w:eastAsia="en-GB"/>
        </w:rPr>
        <w:t>A. tumefaciens</w:t>
      </w:r>
      <w:r w:rsidRPr="00B275D4">
        <w:rPr>
          <w:rFonts w:cs="Arial"/>
          <w:szCs w:val="22"/>
          <w:lang w:eastAsia="en-GB"/>
        </w:rPr>
        <w:t xml:space="preserve"> Ti plasmid pTiT37.</w:t>
      </w:r>
    </w:p>
    <w:p w14:paraId="2064394A" w14:textId="77777777" w:rsidR="00333AC0" w:rsidRPr="00B275D4" w:rsidRDefault="00333AC0" w:rsidP="00011A05">
      <w:pPr>
        <w:pStyle w:val="Heading3"/>
      </w:pPr>
      <w:r w:rsidRPr="00B275D4">
        <w:t xml:space="preserve">3.2.2 </w:t>
      </w:r>
      <w:r w:rsidRPr="00B275D4">
        <w:tab/>
      </w:r>
      <w:r w:rsidRPr="00B275D4">
        <w:rPr>
          <w:i/>
        </w:rPr>
        <w:t>Zmpsy1</w:t>
      </w:r>
      <w:r w:rsidRPr="00B275D4">
        <w:t xml:space="preserve"> cassette 2</w:t>
      </w:r>
    </w:p>
    <w:p w14:paraId="2064394B" w14:textId="77777777" w:rsidR="00333AC0" w:rsidRDefault="00333AC0" w:rsidP="00011A05">
      <w:pPr>
        <w:rPr>
          <w:color w:val="000000" w:themeColor="text1"/>
        </w:rPr>
      </w:pPr>
      <w:r w:rsidRPr="00B275D4">
        <w:rPr>
          <w:color w:val="000000" w:themeColor="text1"/>
        </w:rPr>
        <w:t xml:space="preserve">The expression of the corn </w:t>
      </w:r>
      <w:r w:rsidRPr="00B275D4">
        <w:rPr>
          <w:i/>
          <w:color w:val="000000" w:themeColor="text1"/>
        </w:rPr>
        <w:t>psy1</w:t>
      </w:r>
      <w:r w:rsidRPr="00B275D4">
        <w:rPr>
          <w:color w:val="000000" w:themeColor="text1"/>
        </w:rPr>
        <w:t xml:space="preserve"> gene (</w:t>
      </w:r>
      <w:r w:rsidRPr="00B275D4">
        <w:rPr>
          <w:i/>
          <w:color w:val="000000" w:themeColor="text1"/>
        </w:rPr>
        <w:t>Zmpsy1</w:t>
      </w:r>
      <w:r w:rsidRPr="00B275D4">
        <w:rPr>
          <w:color w:val="000000" w:themeColor="text1"/>
        </w:rPr>
        <w:t>) produces PSY1 that converts GGPP to 15-</w:t>
      </w:r>
      <w:r w:rsidRPr="00B275D4">
        <w:rPr>
          <w:i/>
          <w:color w:val="000000" w:themeColor="text1"/>
        </w:rPr>
        <w:t>cis</w:t>
      </w:r>
      <w:r w:rsidRPr="00B275D4">
        <w:rPr>
          <w:color w:val="000000" w:themeColor="text1"/>
        </w:rPr>
        <w:t>-phytoene in the carotenoid biosynthetic pathway (Section 4.1). A number</w:t>
      </w:r>
      <w:r w:rsidRPr="00261C61">
        <w:rPr>
          <w:color w:val="000000" w:themeColor="text1"/>
        </w:rPr>
        <w:t xml:space="preserve"> of sources </w:t>
      </w:r>
      <w:r>
        <w:rPr>
          <w:color w:val="000000" w:themeColor="text1"/>
        </w:rPr>
        <w:t xml:space="preserve">(daffodil, corn, tomato, capsicum, carrot, </w:t>
      </w:r>
      <w:r w:rsidRPr="007B72E1">
        <w:rPr>
          <w:i/>
          <w:color w:val="000000" w:themeColor="text1"/>
        </w:rPr>
        <w:t>Arabidopsis</w:t>
      </w:r>
      <w:r w:rsidRPr="00261C61">
        <w:rPr>
          <w:color w:val="000000" w:themeColor="text1"/>
        </w:rPr>
        <w:t xml:space="preserve"> and rice) of the </w:t>
      </w:r>
      <w:r w:rsidRPr="00261C61">
        <w:rPr>
          <w:i/>
          <w:color w:val="000000" w:themeColor="text1"/>
        </w:rPr>
        <w:t>psy1</w:t>
      </w:r>
      <w:r w:rsidRPr="00261C61">
        <w:rPr>
          <w:color w:val="000000" w:themeColor="text1"/>
        </w:rPr>
        <w:t xml:space="preserve"> gene were tested during the development of the Golden Rice project </w:t>
      </w:r>
      <w:r>
        <w:rPr>
          <w:noProof/>
          <w:color w:val="000000" w:themeColor="text1"/>
        </w:rPr>
        <w:t>(Paine et al. 2005)</w:t>
      </w:r>
      <w:r w:rsidRPr="00C45488">
        <w:rPr>
          <w:color w:val="000000" w:themeColor="text1"/>
        </w:rPr>
        <w:t xml:space="preserve"> </w:t>
      </w:r>
      <w:r w:rsidRPr="00261C61">
        <w:rPr>
          <w:color w:val="000000" w:themeColor="text1"/>
        </w:rPr>
        <w:t xml:space="preserve">with </w:t>
      </w:r>
      <w:r w:rsidRPr="00261C61">
        <w:rPr>
          <w:i/>
          <w:color w:val="000000" w:themeColor="text1"/>
        </w:rPr>
        <w:t>Zmpsy1</w:t>
      </w:r>
      <w:r w:rsidRPr="00261C61">
        <w:rPr>
          <w:color w:val="000000" w:themeColor="text1"/>
        </w:rPr>
        <w:t xml:space="preserve"> proving to be the most efficacious. </w:t>
      </w:r>
      <w:r>
        <w:rPr>
          <w:color w:val="000000" w:themeColor="text1"/>
        </w:rPr>
        <w:t xml:space="preserve">The gene naturally incorporates a coding sequence for an N-terminal signal peptide that ensures targeting of the product to the plastids. Expression of the gene is under the control of the same promoter and terminator as the </w:t>
      </w:r>
      <w:r w:rsidRPr="00261C61">
        <w:rPr>
          <w:i/>
          <w:color w:val="000000" w:themeColor="text1"/>
        </w:rPr>
        <w:t>crtI</w:t>
      </w:r>
      <w:r>
        <w:rPr>
          <w:color w:val="000000" w:themeColor="text1"/>
        </w:rPr>
        <w:t xml:space="preserve"> gene.</w:t>
      </w:r>
    </w:p>
    <w:p w14:paraId="2064394C" w14:textId="77777777" w:rsidR="00333AC0" w:rsidRPr="00261C61" w:rsidRDefault="00333AC0" w:rsidP="00011A05">
      <w:pPr>
        <w:pStyle w:val="Heading3"/>
      </w:pPr>
      <w:r>
        <w:t>3.2.3</w:t>
      </w:r>
      <w:r w:rsidRPr="00261C61">
        <w:t xml:space="preserve"> </w:t>
      </w:r>
      <w:r w:rsidRPr="00261C61">
        <w:tab/>
      </w:r>
      <w:r>
        <w:rPr>
          <w:i/>
        </w:rPr>
        <w:t>pmi</w:t>
      </w:r>
      <w:r w:rsidRPr="00261C61">
        <w:t xml:space="preserve"> </w:t>
      </w:r>
      <w:r>
        <w:t xml:space="preserve">cassette </w:t>
      </w:r>
    </w:p>
    <w:p w14:paraId="2064394D" w14:textId="77777777" w:rsidR="00333AC0" w:rsidRPr="00261C61" w:rsidRDefault="00333AC0" w:rsidP="00011A05">
      <w:pPr>
        <w:rPr>
          <w:color w:val="000000" w:themeColor="text1"/>
        </w:rPr>
      </w:pPr>
      <w:r>
        <w:rPr>
          <w:color w:val="000000" w:themeColor="text1"/>
        </w:rPr>
        <w:t xml:space="preserve">The </w:t>
      </w:r>
      <w:r w:rsidRPr="00771EF1">
        <w:rPr>
          <w:i/>
          <w:color w:val="000000" w:themeColor="text1"/>
        </w:rPr>
        <w:t>pmi</w:t>
      </w:r>
      <w:r>
        <w:rPr>
          <w:color w:val="000000" w:themeColor="text1"/>
        </w:rPr>
        <w:t xml:space="preserve"> gene from </w:t>
      </w:r>
      <w:r w:rsidRPr="00771EF1">
        <w:rPr>
          <w:i/>
          <w:color w:val="000000" w:themeColor="text1"/>
        </w:rPr>
        <w:t>E. coli</w:t>
      </w:r>
      <w:r>
        <w:rPr>
          <w:color w:val="000000" w:themeColor="text1"/>
        </w:rPr>
        <w:t xml:space="preserve"> encodes the PMI protein that catalyses the interconversion of mannose-6-phosphate and fructose-6-phosphate. The gene is not normally present in rice and its expression allows cells to survive on medium containing only mannose as a carbon source. Thus, it is used to select putative transformants growing on mannose-containing medium </w:t>
      </w:r>
      <w:r>
        <w:rPr>
          <w:noProof/>
          <w:color w:val="000000" w:themeColor="text1"/>
        </w:rPr>
        <w:t>(Negrotto et al. 2000)</w:t>
      </w:r>
      <w:r>
        <w:rPr>
          <w:color w:val="000000" w:themeColor="text1"/>
        </w:rPr>
        <w:t xml:space="preserve">. Gene expression is controlled by the constitutive polyubiquitin </w:t>
      </w:r>
      <w:r w:rsidRPr="00FB7680">
        <w:rPr>
          <w:color w:val="000000" w:themeColor="text1"/>
        </w:rPr>
        <w:t>(</w:t>
      </w:r>
      <w:r w:rsidRPr="00B70E72">
        <w:rPr>
          <w:i/>
          <w:color w:val="000000" w:themeColor="text1"/>
        </w:rPr>
        <w:t>ubi</w:t>
      </w:r>
      <w:r w:rsidRPr="00FB7680">
        <w:rPr>
          <w:color w:val="000000" w:themeColor="text1"/>
        </w:rPr>
        <w:t>) promoter</w:t>
      </w:r>
      <w:r>
        <w:rPr>
          <w:color w:val="000000" w:themeColor="text1"/>
        </w:rPr>
        <w:t xml:space="preserve"> from corn. The </w:t>
      </w:r>
      <w:r w:rsidRPr="0077702A">
        <w:rPr>
          <w:i/>
          <w:color w:val="000000" w:themeColor="text1"/>
        </w:rPr>
        <w:t>NOS</w:t>
      </w:r>
      <w:r>
        <w:rPr>
          <w:color w:val="000000" w:themeColor="text1"/>
        </w:rPr>
        <w:t xml:space="preserve"> UTR terminates transcription.</w:t>
      </w:r>
    </w:p>
    <w:p w14:paraId="2064394E" w14:textId="77777777" w:rsidR="00333AC0" w:rsidRPr="0077702A" w:rsidRDefault="00333AC0" w:rsidP="00011A05">
      <w:pPr>
        <w:pStyle w:val="Heading2"/>
        <w:rPr>
          <w:color w:val="000000" w:themeColor="text1"/>
        </w:rPr>
      </w:pPr>
      <w:bookmarkStart w:id="23" w:name="_Toc470008717"/>
      <w:r w:rsidRPr="0077702A">
        <w:rPr>
          <w:color w:val="000000" w:themeColor="text1"/>
        </w:rPr>
        <w:t xml:space="preserve">3.3 </w:t>
      </w:r>
      <w:r w:rsidRPr="0077702A">
        <w:rPr>
          <w:color w:val="000000" w:themeColor="text1"/>
        </w:rPr>
        <w:tab/>
        <w:t>Breeding of GR2E</w:t>
      </w:r>
      <w:bookmarkEnd w:id="23"/>
    </w:p>
    <w:p w14:paraId="2064394F" w14:textId="77777777" w:rsidR="00333AC0" w:rsidRPr="00B275D4"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Event GR2E in japonica Kaybonnet </w:t>
      </w:r>
      <w:r w:rsidRPr="00B275D4">
        <w:rPr>
          <w:rFonts w:ascii="CharterBT-Roman" w:hAnsi="CharterBT-Roman" w:cs="CharterBT-Roman"/>
          <w:szCs w:val="22"/>
          <w:lang w:eastAsia="en-GB" w:bidi="ar-SA"/>
        </w:rPr>
        <w:t>background (inbred, direct line of descent from the original T</w:t>
      </w:r>
      <w:r w:rsidRPr="00B275D4">
        <w:rPr>
          <w:rFonts w:ascii="CharterBT-Roman" w:hAnsi="CharterBT-Roman" w:cs="CharterBT-Roman"/>
          <w:szCs w:val="22"/>
          <w:vertAlign w:val="subscript"/>
          <w:lang w:eastAsia="en-GB" w:bidi="ar-SA"/>
        </w:rPr>
        <w:t>0</w:t>
      </w:r>
      <w:r w:rsidRPr="00B275D4">
        <w:rPr>
          <w:rFonts w:ascii="CharterBT-Roman" w:hAnsi="CharterBT-Roman" w:cs="CharterBT-Roman"/>
          <w:szCs w:val="22"/>
          <w:lang w:eastAsia="en-GB" w:bidi="ar-SA"/>
        </w:rPr>
        <w:t xml:space="preserve"> transformant) was crossed into three different indica rice backgrounds, PSB Rc82 (Rc82), BRRI </w:t>
      </w:r>
      <w:r w:rsidRPr="00B275D4">
        <w:rPr>
          <w:rFonts w:ascii="CharterBT-Italic" w:hAnsi="CharterBT-Italic" w:cs="CharterBT-Italic"/>
          <w:i/>
          <w:iCs/>
          <w:szCs w:val="22"/>
          <w:lang w:eastAsia="en-GB" w:bidi="ar-SA"/>
        </w:rPr>
        <w:t xml:space="preserve">dhan </w:t>
      </w:r>
      <w:r w:rsidRPr="00B275D4">
        <w:rPr>
          <w:rFonts w:ascii="CharterBT-Roman" w:hAnsi="CharterBT-Roman" w:cs="CharterBT-Roman"/>
          <w:szCs w:val="22"/>
          <w:lang w:eastAsia="en-GB" w:bidi="ar-SA"/>
        </w:rPr>
        <w:t>29 (BR29), and IR64 (Figure 4). During the breeding and development of GR2E rice, seed was produced for multiple purposes, including product evaluation, research testing, and regulatory testing. Due to seed limitations, seed was sourced from multiple generations of GR2E rice in different genetic backgrounds, depending on the study, and where applicable studies utilized the appropriate near-isogenic conventional comparator (Table 2).</w:t>
      </w:r>
    </w:p>
    <w:p w14:paraId="20643950" w14:textId="77777777" w:rsidR="00333AC0" w:rsidRPr="00B275D4" w:rsidRDefault="00333AC0" w:rsidP="00011A05">
      <w:pPr>
        <w:pStyle w:val="FSTableHeading"/>
        <w:jc w:val="left"/>
      </w:pPr>
    </w:p>
    <w:p w14:paraId="20643951" w14:textId="77777777" w:rsidR="00333AC0" w:rsidRPr="00B275D4" w:rsidRDefault="00333AC0" w:rsidP="00011A05">
      <w:pPr>
        <w:pStyle w:val="FSTableHeading"/>
        <w:jc w:val="left"/>
        <w:rPr>
          <w:sz w:val="22"/>
          <w:szCs w:val="22"/>
        </w:rPr>
      </w:pPr>
      <w:bookmarkStart w:id="24" w:name="_Toc487212001"/>
      <w:r w:rsidRPr="00B275D4">
        <w:rPr>
          <w:sz w:val="22"/>
          <w:szCs w:val="22"/>
        </w:rPr>
        <w:t xml:space="preserve">Table </w:t>
      </w:r>
      <w:r w:rsidRPr="00B275D4">
        <w:rPr>
          <w:sz w:val="22"/>
          <w:szCs w:val="22"/>
        </w:rPr>
        <w:fldChar w:fldCharType="begin"/>
      </w:r>
      <w:r w:rsidRPr="00B275D4">
        <w:rPr>
          <w:sz w:val="22"/>
          <w:szCs w:val="22"/>
        </w:rPr>
        <w:instrText xml:space="preserve"> SEQ Table \* ARABIC </w:instrText>
      </w:r>
      <w:r w:rsidRPr="00B275D4">
        <w:rPr>
          <w:sz w:val="22"/>
          <w:szCs w:val="22"/>
        </w:rPr>
        <w:fldChar w:fldCharType="separate"/>
      </w:r>
      <w:r w:rsidR="00286242">
        <w:rPr>
          <w:noProof/>
          <w:sz w:val="22"/>
          <w:szCs w:val="22"/>
        </w:rPr>
        <w:t>2</w:t>
      </w:r>
      <w:r w:rsidRPr="00B275D4">
        <w:rPr>
          <w:sz w:val="22"/>
          <w:szCs w:val="22"/>
        </w:rPr>
        <w:fldChar w:fldCharType="end"/>
      </w:r>
      <w:r w:rsidRPr="00B275D4">
        <w:rPr>
          <w:sz w:val="22"/>
          <w:szCs w:val="22"/>
        </w:rPr>
        <w:t>: GR2E generations used for various analyses</w:t>
      </w:r>
      <w:bookmarkEnd w:id="24"/>
    </w:p>
    <w:p w14:paraId="20643952" w14:textId="77777777" w:rsidR="00333AC0" w:rsidRPr="00B275D4" w:rsidRDefault="00333AC0" w:rsidP="00011A05">
      <w:pPr>
        <w:pStyle w:val="FSTableHeading"/>
        <w:jc w:val="left"/>
        <w:rPr>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GR2E generations used for various analyses"/>
      </w:tblPr>
      <w:tblGrid>
        <w:gridCol w:w="2511"/>
        <w:gridCol w:w="2138"/>
        <w:gridCol w:w="2547"/>
        <w:gridCol w:w="1876"/>
      </w:tblGrid>
      <w:tr w:rsidR="00333AC0" w:rsidRPr="00B275D4" w14:paraId="20643957" w14:textId="77777777" w:rsidTr="00011A05">
        <w:trPr>
          <w:tblHeader/>
        </w:trPr>
        <w:tc>
          <w:tcPr>
            <w:tcW w:w="2511" w:type="dxa"/>
            <w:shd w:val="clear" w:color="auto" w:fill="9BBB59" w:themeFill="accent3"/>
            <w:vAlign w:val="center"/>
          </w:tcPr>
          <w:p w14:paraId="20643953" w14:textId="77777777" w:rsidR="00333AC0" w:rsidRPr="00B275D4" w:rsidRDefault="00333AC0" w:rsidP="00011A05">
            <w:pPr>
              <w:rPr>
                <w:b/>
                <w:bCs/>
                <w:iCs/>
                <w:color w:val="FFFFFF" w:themeColor="background1"/>
                <w:lang w:val="en-AU"/>
              </w:rPr>
            </w:pPr>
            <w:r w:rsidRPr="00B275D4">
              <w:rPr>
                <w:b/>
                <w:bCs/>
                <w:iCs/>
                <w:color w:val="FFFFFF" w:themeColor="background1"/>
                <w:lang w:val="en-AU"/>
              </w:rPr>
              <w:t>Analysis</w:t>
            </w:r>
          </w:p>
        </w:tc>
        <w:tc>
          <w:tcPr>
            <w:tcW w:w="2138" w:type="dxa"/>
            <w:shd w:val="clear" w:color="auto" w:fill="9BBB59" w:themeFill="accent3"/>
            <w:vAlign w:val="center"/>
          </w:tcPr>
          <w:p w14:paraId="20643954" w14:textId="77777777" w:rsidR="00333AC0" w:rsidRPr="00B275D4" w:rsidRDefault="00333AC0" w:rsidP="00011A05">
            <w:pPr>
              <w:rPr>
                <w:b/>
                <w:bCs/>
                <w:iCs/>
                <w:color w:val="FFFFFF" w:themeColor="background1"/>
                <w:lang w:val="en-AU"/>
              </w:rPr>
            </w:pPr>
            <w:r w:rsidRPr="00B275D4">
              <w:rPr>
                <w:b/>
                <w:bCs/>
                <w:iCs/>
                <w:color w:val="FFFFFF" w:themeColor="background1"/>
                <w:lang w:val="en-AU"/>
              </w:rPr>
              <w:t>GR2E generation(s) used</w:t>
            </w:r>
          </w:p>
        </w:tc>
        <w:tc>
          <w:tcPr>
            <w:tcW w:w="2547" w:type="dxa"/>
            <w:shd w:val="clear" w:color="auto" w:fill="9BBB59" w:themeFill="accent3"/>
            <w:vAlign w:val="center"/>
          </w:tcPr>
          <w:p w14:paraId="20643955" w14:textId="77777777" w:rsidR="00333AC0" w:rsidRPr="00B275D4" w:rsidRDefault="00333AC0" w:rsidP="00011A05">
            <w:pPr>
              <w:rPr>
                <w:b/>
                <w:bCs/>
                <w:iCs/>
                <w:color w:val="FFFFFF" w:themeColor="background1"/>
                <w:lang w:val="en-AU"/>
              </w:rPr>
            </w:pPr>
            <w:r w:rsidRPr="00B275D4">
              <w:rPr>
                <w:b/>
                <w:bCs/>
                <w:iCs/>
                <w:color w:val="FFFFFF" w:themeColor="background1"/>
                <w:lang w:val="en-AU"/>
              </w:rPr>
              <w:t>Control(s) used</w:t>
            </w:r>
          </w:p>
        </w:tc>
        <w:tc>
          <w:tcPr>
            <w:tcW w:w="1876" w:type="dxa"/>
            <w:shd w:val="clear" w:color="auto" w:fill="9BBB59" w:themeFill="accent3"/>
            <w:vAlign w:val="center"/>
          </w:tcPr>
          <w:p w14:paraId="20643956" w14:textId="77777777" w:rsidR="00333AC0" w:rsidRPr="00B275D4" w:rsidRDefault="00333AC0" w:rsidP="00011A05">
            <w:pPr>
              <w:rPr>
                <w:b/>
                <w:bCs/>
                <w:iCs/>
                <w:color w:val="FFFFFF" w:themeColor="background1"/>
                <w:lang w:val="en-AU"/>
              </w:rPr>
            </w:pPr>
            <w:r w:rsidRPr="00B275D4">
              <w:rPr>
                <w:b/>
                <w:bCs/>
                <w:iCs/>
                <w:color w:val="FFFFFF" w:themeColor="background1"/>
                <w:lang w:val="en-AU"/>
              </w:rPr>
              <w:t>Reference material</w:t>
            </w:r>
          </w:p>
        </w:tc>
      </w:tr>
      <w:tr w:rsidR="00333AC0" w:rsidRPr="00B275D4" w14:paraId="2064395E" w14:textId="77777777" w:rsidTr="00011A05">
        <w:tc>
          <w:tcPr>
            <w:tcW w:w="2511" w:type="dxa"/>
            <w:vAlign w:val="center"/>
          </w:tcPr>
          <w:p w14:paraId="20643958"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 xml:space="preserve">Molecular characterisation </w:t>
            </w:r>
          </w:p>
          <w:p w14:paraId="20643959"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(Sections 3.4.1.1 – 3.4.1.4)</w:t>
            </w:r>
          </w:p>
        </w:tc>
        <w:tc>
          <w:tcPr>
            <w:tcW w:w="2138" w:type="dxa"/>
            <w:vAlign w:val="center"/>
          </w:tcPr>
          <w:p w14:paraId="2064395A" w14:textId="77777777" w:rsidR="00333AC0" w:rsidRPr="00B275D4" w:rsidRDefault="00333AC0" w:rsidP="00011A05">
            <w:pPr>
              <w:rPr>
                <w:bCs/>
                <w:iCs/>
                <w:color w:val="000000" w:themeColor="text1"/>
                <w:sz w:val="20"/>
                <w:szCs w:val="20"/>
                <w:lang w:val="en-AU"/>
              </w:rPr>
            </w:pPr>
            <w:r w:rsidRPr="00B275D4">
              <w:rPr>
                <w:color w:val="000000" w:themeColor="text1"/>
                <w:sz w:val="20"/>
                <w:szCs w:val="20"/>
              </w:rPr>
              <w:t>T</w:t>
            </w:r>
            <w:r w:rsidRPr="00B275D4">
              <w:rPr>
                <w:color w:val="000000" w:themeColor="text1"/>
                <w:sz w:val="20"/>
                <w:szCs w:val="20"/>
                <w:vertAlign w:val="subscript"/>
              </w:rPr>
              <w:t>n</w:t>
            </w:r>
            <w:r w:rsidRPr="00B275D4">
              <w:rPr>
                <w:color w:val="000000" w:themeColor="text1"/>
                <w:sz w:val="20"/>
                <w:szCs w:val="20"/>
              </w:rPr>
              <w:t>, BC</w:t>
            </w:r>
            <w:r w:rsidRPr="00B275D4">
              <w:rPr>
                <w:color w:val="000000" w:themeColor="text1"/>
                <w:sz w:val="20"/>
                <w:szCs w:val="20"/>
                <w:vertAlign w:val="subscript"/>
              </w:rPr>
              <w:t>3</w:t>
            </w:r>
            <w:r w:rsidRPr="00B275D4">
              <w:rPr>
                <w:color w:val="000000" w:themeColor="text1"/>
                <w:sz w:val="20"/>
                <w:szCs w:val="20"/>
              </w:rPr>
              <w:t>F</w:t>
            </w:r>
            <w:r w:rsidRPr="00B275D4">
              <w:rPr>
                <w:color w:val="000000" w:themeColor="text1"/>
                <w:sz w:val="20"/>
                <w:szCs w:val="20"/>
                <w:vertAlign w:val="subscript"/>
              </w:rPr>
              <w:t>5</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4</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w:t>
            </w:r>
          </w:p>
        </w:tc>
        <w:tc>
          <w:tcPr>
            <w:tcW w:w="2547" w:type="dxa"/>
            <w:vAlign w:val="center"/>
          </w:tcPr>
          <w:p w14:paraId="2064395B"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Kaybonnet</w:t>
            </w:r>
          </w:p>
          <w:p w14:paraId="2064395C"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Kaybonnet spiked with pSYN1242</w:t>
            </w:r>
          </w:p>
        </w:tc>
        <w:tc>
          <w:tcPr>
            <w:tcW w:w="1876" w:type="dxa"/>
            <w:vAlign w:val="center"/>
          </w:tcPr>
          <w:p w14:paraId="2064395D"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Plasmid pSYN12424</w:t>
            </w:r>
          </w:p>
        </w:tc>
      </w:tr>
      <w:tr w:rsidR="00333AC0" w:rsidRPr="00B275D4" w14:paraId="20643964" w14:textId="77777777" w:rsidTr="00011A05">
        <w:tc>
          <w:tcPr>
            <w:tcW w:w="2511" w:type="dxa"/>
            <w:shd w:val="clear" w:color="auto" w:fill="EAF1DD" w:themeFill="accent3" w:themeFillTint="33"/>
            <w:vAlign w:val="center"/>
          </w:tcPr>
          <w:p w14:paraId="2064395F"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Genetic stability                 (Section 3.5.1)</w:t>
            </w:r>
          </w:p>
        </w:tc>
        <w:tc>
          <w:tcPr>
            <w:tcW w:w="2138" w:type="dxa"/>
            <w:shd w:val="clear" w:color="auto" w:fill="EAF1DD" w:themeFill="accent3" w:themeFillTint="33"/>
            <w:vAlign w:val="center"/>
          </w:tcPr>
          <w:p w14:paraId="20643960" w14:textId="77777777" w:rsidR="00333AC0" w:rsidRPr="00B275D4" w:rsidRDefault="00333AC0" w:rsidP="00011A05">
            <w:pPr>
              <w:rPr>
                <w:color w:val="000000" w:themeColor="text1"/>
                <w:sz w:val="20"/>
                <w:szCs w:val="20"/>
              </w:rPr>
            </w:pPr>
            <w:r w:rsidRPr="00B275D4">
              <w:rPr>
                <w:color w:val="000000" w:themeColor="text1"/>
                <w:sz w:val="20"/>
                <w:szCs w:val="20"/>
              </w:rPr>
              <w:t>T</w:t>
            </w:r>
            <w:r w:rsidRPr="00B275D4">
              <w:rPr>
                <w:color w:val="000000" w:themeColor="text1"/>
                <w:sz w:val="20"/>
                <w:szCs w:val="20"/>
                <w:vertAlign w:val="subscript"/>
              </w:rPr>
              <w:t>n</w:t>
            </w:r>
            <w:r w:rsidRPr="00B275D4">
              <w:rPr>
                <w:color w:val="000000" w:themeColor="text1"/>
                <w:sz w:val="20"/>
                <w:szCs w:val="20"/>
              </w:rPr>
              <w:t>, BC</w:t>
            </w:r>
            <w:r w:rsidRPr="00B275D4">
              <w:rPr>
                <w:color w:val="000000" w:themeColor="text1"/>
                <w:sz w:val="20"/>
                <w:szCs w:val="20"/>
                <w:vertAlign w:val="subscript"/>
              </w:rPr>
              <w:t>3</w:t>
            </w:r>
            <w:r w:rsidRPr="00B275D4">
              <w:rPr>
                <w:color w:val="000000" w:themeColor="text1"/>
                <w:sz w:val="20"/>
                <w:szCs w:val="20"/>
              </w:rPr>
              <w:t>F</w:t>
            </w:r>
            <w:r w:rsidRPr="00B275D4">
              <w:rPr>
                <w:color w:val="000000" w:themeColor="text1"/>
                <w:sz w:val="20"/>
                <w:szCs w:val="20"/>
                <w:vertAlign w:val="subscript"/>
              </w:rPr>
              <w:t>5</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4</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1*2*33</w:t>
            </w:r>
          </w:p>
        </w:tc>
        <w:tc>
          <w:tcPr>
            <w:tcW w:w="2547" w:type="dxa"/>
            <w:shd w:val="clear" w:color="auto" w:fill="EAF1DD" w:themeFill="accent3" w:themeFillTint="33"/>
            <w:vAlign w:val="center"/>
          </w:tcPr>
          <w:p w14:paraId="20643961"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Kaybonnet</w:t>
            </w:r>
          </w:p>
          <w:p w14:paraId="20643962"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Kaybonnet spiked with pSYN1242</w:t>
            </w:r>
          </w:p>
        </w:tc>
        <w:tc>
          <w:tcPr>
            <w:tcW w:w="1876" w:type="dxa"/>
            <w:shd w:val="clear" w:color="auto" w:fill="EAF1DD" w:themeFill="accent3" w:themeFillTint="33"/>
            <w:vAlign w:val="center"/>
          </w:tcPr>
          <w:p w14:paraId="20643963"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Plasmid pSYN12424</w:t>
            </w:r>
          </w:p>
        </w:tc>
      </w:tr>
      <w:tr w:rsidR="00333AC0" w:rsidRPr="00B275D4" w14:paraId="2064396A" w14:textId="77777777" w:rsidTr="00011A05">
        <w:tc>
          <w:tcPr>
            <w:tcW w:w="2511" w:type="dxa"/>
            <w:shd w:val="clear" w:color="auto" w:fill="FFFFFF" w:themeFill="background1"/>
            <w:vAlign w:val="center"/>
          </w:tcPr>
          <w:p w14:paraId="20643965"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Phenotypic stability – carotenoid levels (Section 3.5.2.1)</w:t>
            </w:r>
          </w:p>
        </w:tc>
        <w:tc>
          <w:tcPr>
            <w:tcW w:w="2138" w:type="dxa"/>
            <w:shd w:val="clear" w:color="auto" w:fill="FFFFFF" w:themeFill="background1"/>
            <w:vAlign w:val="center"/>
          </w:tcPr>
          <w:p w14:paraId="20643966" w14:textId="77777777" w:rsidR="00333AC0" w:rsidRPr="00B275D4" w:rsidRDefault="00333AC0" w:rsidP="00011A05">
            <w:pPr>
              <w:rPr>
                <w:color w:val="000000" w:themeColor="text1"/>
                <w:sz w:val="20"/>
                <w:szCs w:val="20"/>
              </w:rPr>
            </w:pPr>
            <w:r w:rsidRPr="00B275D4">
              <w:rPr>
                <w:color w:val="000000" w:themeColor="text1"/>
                <w:sz w:val="20"/>
                <w:szCs w:val="20"/>
              </w:rPr>
              <w:t>T</w:t>
            </w:r>
            <w:r w:rsidRPr="00B275D4">
              <w:rPr>
                <w:color w:val="000000" w:themeColor="text1"/>
                <w:sz w:val="20"/>
                <w:szCs w:val="20"/>
                <w:vertAlign w:val="subscript"/>
              </w:rPr>
              <w:t>n</w:t>
            </w:r>
            <w:r w:rsidRPr="00B275D4">
              <w:rPr>
                <w:color w:val="000000" w:themeColor="text1"/>
                <w:sz w:val="20"/>
                <w:szCs w:val="20"/>
              </w:rPr>
              <w:t>, BC</w:t>
            </w:r>
            <w:r w:rsidRPr="00B275D4">
              <w:rPr>
                <w:color w:val="000000" w:themeColor="text1"/>
                <w:sz w:val="20"/>
                <w:szCs w:val="20"/>
                <w:vertAlign w:val="subscript"/>
              </w:rPr>
              <w:t>3</w:t>
            </w:r>
            <w:r w:rsidRPr="00B275D4">
              <w:rPr>
                <w:color w:val="000000" w:themeColor="text1"/>
                <w:sz w:val="20"/>
                <w:szCs w:val="20"/>
              </w:rPr>
              <w:t>F</w:t>
            </w:r>
            <w:r w:rsidRPr="00B275D4">
              <w:rPr>
                <w:color w:val="000000" w:themeColor="text1"/>
                <w:sz w:val="20"/>
                <w:szCs w:val="20"/>
                <w:vertAlign w:val="subscript"/>
              </w:rPr>
              <w:t>5</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4</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1*2*3</w:t>
            </w:r>
          </w:p>
        </w:tc>
        <w:tc>
          <w:tcPr>
            <w:tcW w:w="2547" w:type="dxa"/>
            <w:shd w:val="clear" w:color="auto" w:fill="FFFFFF" w:themeFill="background1"/>
            <w:vAlign w:val="center"/>
          </w:tcPr>
          <w:p w14:paraId="20643967"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Kaybonnet</w:t>
            </w:r>
          </w:p>
          <w:p w14:paraId="20643968" w14:textId="77777777" w:rsidR="00333AC0" w:rsidRPr="00B275D4" w:rsidRDefault="00333AC0" w:rsidP="0022311E">
            <w:pPr>
              <w:pStyle w:val="ListParagraph"/>
              <w:numPr>
                <w:ilvl w:val="0"/>
                <w:numId w:val="11"/>
              </w:numPr>
              <w:ind w:left="171" w:hanging="171"/>
              <w:rPr>
                <w:bCs/>
                <w:iCs/>
                <w:color w:val="000000" w:themeColor="text1"/>
                <w:sz w:val="20"/>
                <w:szCs w:val="20"/>
                <w:lang w:val="en-AU"/>
              </w:rPr>
            </w:pPr>
            <w:r w:rsidRPr="00B275D4">
              <w:rPr>
                <w:bCs/>
                <w:iCs/>
                <w:color w:val="000000" w:themeColor="text1"/>
                <w:sz w:val="20"/>
                <w:szCs w:val="20"/>
                <w:lang w:val="en-AU"/>
              </w:rPr>
              <w:t>Non-GM Rc82</w:t>
            </w:r>
          </w:p>
        </w:tc>
        <w:tc>
          <w:tcPr>
            <w:tcW w:w="1876" w:type="dxa"/>
            <w:shd w:val="clear" w:color="auto" w:fill="FFFFFF" w:themeFill="background1"/>
            <w:vAlign w:val="center"/>
          </w:tcPr>
          <w:p w14:paraId="20643969"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N/A</w:t>
            </w:r>
          </w:p>
        </w:tc>
      </w:tr>
      <w:tr w:rsidR="00333AC0" w:rsidRPr="00B275D4" w14:paraId="2064396F" w14:textId="77777777" w:rsidTr="00011A05">
        <w:tc>
          <w:tcPr>
            <w:tcW w:w="2511" w:type="dxa"/>
            <w:shd w:val="clear" w:color="auto" w:fill="auto"/>
            <w:vAlign w:val="center"/>
          </w:tcPr>
          <w:p w14:paraId="2064396B"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Mendelian inheritance (Section 3.5.2.2)</w:t>
            </w:r>
          </w:p>
        </w:tc>
        <w:tc>
          <w:tcPr>
            <w:tcW w:w="2138" w:type="dxa"/>
            <w:shd w:val="clear" w:color="auto" w:fill="auto"/>
            <w:vAlign w:val="center"/>
          </w:tcPr>
          <w:p w14:paraId="2064396C" w14:textId="77777777" w:rsidR="00333AC0" w:rsidRPr="00B275D4" w:rsidRDefault="00333AC0" w:rsidP="00011A05">
            <w:pPr>
              <w:rPr>
                <w:color w:val="000000" w:themeColor="text1"/>
                <w:sz w:val="20"/>
                <w:szCs w:val="20"/>
              </w:rPr>
            </w:pPr>
            <w:r w:rsidRPr="00B275D4">
              <w:rPr>
                <w:color w:val="000000" w:themeColor="text1"/>
                <w:sz w:val="20"/>
                <w:szCs w:val="20"/>
              </w:rPr>
              <w:t>BC</w:t>
            </w:r>
            <w:r w:rsidRPr="00B275D4">
              <w:rPr>
                <w:color w:val="000000" w:themeColor="text1"/>
                <w:sz w:val="20"/>
                <w:szCs w:val="20"/>
                <w:vertAlign w:val="subscript"/>
              </w:rPr>
              <w:t>4</w:t>
            </w:r>
            <w:r w:rsidRPr="00B275D4">
              <w:rPr>
                <w:color w:val="000000" w:themeColor="text1"/>
                <w:sz w:val="20"/>
                <w:szCs w:val="20"/>
              </w:rPr>
              <w:t>F</w:t>
            </w:r>
            <w:r w:rsidRPr="00B275D4">
              <w:rPr>
                <w:color w:val="000000" w:themeColor="text1"/>
                <w:sz w:val="20"/>
                <w:szCs w:val="20"/>
                <w:vertAlign w:val="subscript"/>
              </w:rPr>
              <w:t>2</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1</w:t>
            </w:r>
            <w:r w:rsidRPr="00B275D4">
              <w:rPr>
                <w:color w:val="000000" w:themeColor="text1"/>
                <w:sz w:val="20"/>
                <w:szCs w:val="20"/>
              </w:rPr>
              <w:t>*</w:t>
            </w:r>
            <w:r w:rsidRPr="00B275D4">
              <w:rPr>
                <w:color w:val="000000" w:themeColor="text1"/>
                <w:sz w:val="20"/>
                <w:szCs w:val="20"/>
                <w:vertAlign w:val="superscript"/>
              </w:rPr>
              <w:t>1*2*3</w:t>
            </w:r>
            <w:r w:rsidRPr="00B275D4">
              <w:rPr>
                <w:color w:val="000000" w:themeColor="text1"/>
                <w:sz w:val="20"/>
                <w:szCs w:val="20"/>
              </w:rPr>
              <w:t>, 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2</w:t>
            </w:r>
            <w:r w:rsidRPr="00B275D4">
              <w:rPr>
                <w:color w:val="000000" w:themeColor="text1"/>
                <w:sz w:val="20"/>
                <w:szCs w:val="20"/>
              </w:rPr>
              <w:t>*</w:t>
            </w:r>
            <w:r w:rsidRPr="00B275D4">
              <w:rPr>
                <w:color w:val="000000" w:themeColor="text1"/>
                <w:sz w:val="20"/>
                <w:szCs w:val="20"/>
                <w:vertAlign w:val="superscript"/>
              </w:rPr>
              <w:t>1*2*3</w:t>
            </w:r>
          </w:p>
        </w:tc>
        <w:tc>
          <w:tcPr>
            <w:tcW w:w="2547" w:type="dxa"/>
            <w:shd w:val="clear" w:color="auto" w:fill="auto"/>
            <w:vAlign w:val="center"/>
          </w:tcPr>
          <w:p w14:paraId="2064396D"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N/A</w:t>
            </w:r>
          </w:p>
        </w:tc>
        <w:tc>
          <w:tcPr>
            <w:tcW w:w="1876" w:type="dxa"/>
            <w:shd w:val="clear" w:color="auto" w:fill="auto"/>
            <w:vAlign w:val="center"/>
          </w:tcPr>
          <w:p w14:paraId="2064396E"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N/A</w:t>
            </w:r>
          </w:p>
        </w:tc>
      </w:tr>
      <w:tr w:rsidR="00333AC0" w:rsidRPr="00B275D4" w14:paraId="20643974" w14:textId="77777777" w:rsidTr="00011A05">
        <w:tc>
          <w:tcPr>
            <w:tcW w:w="2511" w:type="dxa"/>
            <w:shd w:val="clear" w:color="auto" w:fill="auto"/>
            <w:vAlign w:val="center"/>
          </w:tcPr>
          <w:p w14:paraId="20643970"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Protein expression levels in plant parts (Section 4.1.3.2)</w:t>
            </w:r>
          </w:p>
        </w:tc>
        <w:tc>
          <w:tcPr>
            <w:tcW w:w="2138" w:type="dxa"/>
            <w:shd w:val="clear" w:color="auto" w:fill="auto"/>
            <w:vAlign w:val="center"/>
          </w:tcPr>
          <w:p w14:paraId="20643971" w14:textId="77777777" w:rsidR="00333AC0" w:rsidRPr="00B275D4" w:rsidRDefault="00333AC0" w:rsidP="00011A05">
            <w:pPr>
              <w:rPr>
                <w:color w:val="000000" w:themeColor="text1"/>
                <w:sz w:val="20"/>
                <w:szCs w:val="20"/>
              </w:rPr>
            </w:pPr>
            <w:r w:rsidRPr="00B275D4">
              <w:rPr>
                <w:color w:val="000000" w:themeColor="text1"/>
                <w:sz w:val="20"/>
                <w:szCs w:val="20"/>
              </w:rPr>
              <w:t>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3</w:t>
            </w:r>
            <w:r w:rsidRPr="00B275D4">
              <w:rPr>
                <w:color w:val="000000" w:themeColor="text1"/>
                <w:sz w:val="20"/>
                <w:szCs w:val="20"/>
              </w:rPr>
              <w:t>*</w:t>
            </w:r>
            <w:r w:rsidRPr="00B275D4">
              <w:rPr>
                <w:color w:val="000000" w:themeColor="text1"/>
                <w:sz w:val="20"/>
                <w:szCs w:val="20"/>
                <w:vertAlign w:val="superscript"/>
              </w:rPr>
              <w:t>1</w:t>
            </w:r>
            <w:r w:rsidRPr="00B275D4">
              <w:rPr>
                <w:color w:val="000000" w:themeColor="text1"/>
                <w:sz w:val="20"/>
                <w:szCs w:val="20"/>
              </w:rPr>
              <w:t xml:space="preserve">, </w:t>
            </w:r>
            <w:r w:rsidRPr="00B275D4">
              <w:rPr>
                <w:color w:val="000000" w:themeColor="text1"/>
                <w:szCs w:val="22"/>
              </w:rPr>
              <w:t>BC</w:t>
            </w:r>
            <w:r w:rsidRPr="00B275D4">
              <w:rPr>
                <w:color w:val="000000" w:themeColor="text1"/>
                <w:szCs w:val="22"/>
                <w:vertAlign w:val="subscript"/>
              </w:rPr>
              <w:t>5</w:t>
            </w:r>
            <w:r w:rsidRPr="00B275D4">
              <w:rPr>
                <w:color w:val="000000" w:themeColor="text1"/>
                <w:szCs w:val="22"/>
              </w:rPr>
              <w:t>F</w:t>
            </w:r>
            <w:r w:rsidRPr="00B275D4">
              <w:rPr>
                <w:color w:val="000000" w:themeColor="text1"/>
                <w:szCs w:val="22"/>
                <w:vertAlign w:val="subscript"/>
              </w:rPr>
              <w:t>4</w:t>
            </w:r>
            <w:r w:rsidRPr="00B275D4">
              <w:rPr>
                <w:color w:val="000000" w:themeColor="text1"/>
                <w:szCs w:val="22"/>
              </w:rPr>
              <w:t>*</w:t>
            </w:r>
            <w:r w:rsidRPr="00B275D4">
              <w:rPr>
                <w:color w:val="000000" w:themeColor="text1"/>
                <w:szCs w:val="22"/>
                <w:vertAlign w:val="superscript"/>
              </w:rPr>
              <w:t>1</w:t>
            </w:r>
          </w:p>
        </w:tc>
        <w:tc>
          <w:tcPr>
            <w:tcW w:w="2547" w:type="dxa"/>
            <w:shd w:val="clear" w:color="auto" w:fill="auto"/>
            <w:vAlign w:val="center"/>
          </w:tcPr>
          <w:p w14:paraId="20643972"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Non-GM Rc82</w:t>
            </w:r>
          </w:p>
        </w:tc>
        <w:tc>
          <w:tcPr>
            <w:tcW w:w="1876" w:type="dxa"/>
            <w:shd w:val="clear" w:color="auto" w:fill="auto"/>
            <w:vAlign w:val="center"/>
          </w:tcPr>
          <w:p w14:paraId="20643973"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N/A</w:t>
            </w:r>
          </w:p>
        </w:tc>
      </w:tr>
      <w:tr w:rsidR="00333AC0" w:rsidRPr="00E308F0" w14:paraId="20643979" w14:textId="77777777" w:rsidTr="00011A05">
        <w:tc>
          <w:tcPr>
            <w:tcW w:w="2511" w:type="dxa"/>
            <w:shd w:val="clear" w:color="auto" w:fill="auto"/>
            <w:vAlign w:val="center"/>
          </w:tcPr>
          <w:p w14:paraId="20643975"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Compositional analyses (Section 5)</w:t>
            </w:r>
          </w:p>
        </w:tc>
        <w:tc>
          <w:tcPr>
            <w:tcW w:w="2138" w:type="dxa"/>
            <w:shd w:val="clear" w:color="auto" w:fill="auto"/>
            <w:vAlign w:val="center"/>
          </w:tcPr>
          <w:p w14:paraId="20643976" w14:textId="77777777" w:rsidR="00333AC0" w:rsidRPr="00B275D4" w:rsidRDefault="00333AC0" w:rsidP="00011A05">
            <w:pPr>
              <w:rPr>
                <w:bCs/>
                <w:iCs/>
                <w:color w:val="000000" w:themeColor="text1"/>
                <w:sz w:val="20"/>
                <w:szCs w:val="20"/>
                <w:lang w:val="en-AU"/>
              </w:rPr>
            </w:pPr>
            <w:r w:rsidRPr="00B275D4">
              <w:rPr>
                <w:color w:val="000000" w:themeColor="text1"/>
                <w:szCs w:val="22"/>
              </w:rPr>
              <w:t>BC</w:t>
            </w:r>
            <w:r w:rsidRPr="00B275D4">
              <w:rPr>
                <w:color w:val="000000" w:themeColor="text1"/>
                <w:szCs w:val="22"/>
                <w:vertAlign w:val="subscript"/>
              </w:rPr>
              <w:t>5</w:t>
            </w:r>
            <w:r w:rsidRPr="00B275D4">
              <w:rPr>
                <w:color w:val="000000" w:themeColor="text1"/>
                <w:szCs w:val="22"/>
              </w:rPr>
              <w:t>F</w:t>
            </w:r>
            <w:r w:rsidRPr="00B275D4">
              <w:rPr>
                <w:color w:val="000000" w:themeColor="text1"/>
                <w:szCs w:val="22"/>
                <w:vertAlign w:val="subscript"/>
              </w:rPr>
              <w:t>3</w:t>
            </w:r>
            <w:r w:rsidRPr="00B275D4">
              <w:rPr>
                <w:color w:val="000000" w:themeColor="text1"/>
                <w:szCs w:val="22"/>
              </w:rPr>
              <w:t>*</w:t>
            </w:r>
            <w:r w:rsidRPr="00B275D4">
              <w:rPr>
                <w:color w:val="000000" w:themeColor="text1"/>
                <w:szCs w:val="22"/>
                <w:vertAlign w:val="superscript"/>
              </w:rPr>
              <w:t>1</w:t>
            </w:r>
            <w:r w:rsidRPr="00B275D4">
              <w:rPr>
                <w:color w:val="000000" w:themeColor="text1"/>
                <w:szCs w:val="22"/>
              </w:rPr>
              <w:t xml:space="preserve">, </w:t>
            </w:r>
            <w:r w:rsidRPr="00B275D4">
              <w:rPr>
                <w:color w:val="000000" w:themeColor="text1"/>
                <w:sz w:val="20"/>
                <w:szCs w:val="20"/>
              </w:rPr>
              <w:t>BC</w:t>
            </w:r>
            <w:r w:rsidRPr="00B275D4">
              <w:rPr>
                <w:color w:val="000000" w:themeColor="text1"/>
                <w:sz w:val="20"/>
                <w:szCs w:val="20"/>
                <w:vertAlign w:val="subscript"/>
              </w:rPr>
              <w:t>5</w:t>
            </w:r>
            <w:r w:rsidRPr="00B275D4">
              <w:rPr>
                <w:color w:val="000000" w:themeColor="text1"/>
                <w:sz w:val="20"/>
                <w:szCs w:val="20"/>
              </w:rPr>
              <w:t>F</w:t>
            </w:r>
            <w:r w:rsidRPr="00B275D4">
              <w:rPr>
                <w:color w:val="000000" w:themeColor="text1"/>
                <w:sz w:val="20"/>
                <w:szCs w:val="20"/>
                <w:vertAlign w:val="subscript"/>
              </w:rPr>
              <w:t>4</w:t>
            </w:r>
            <w:r w:rsidRPr="00B275D4">
              <w:rPr>
                <w:color w:val="000000" w:themeColor="text1"/>
                <w:sz w:val="20"/>
                <w:szCs w:val="20"/>
              </w:rPr>
              <w:t>*</w:t>
            </w:r>
            <w:r w:rsidRPr="00B275D4">
              <w:rPr>
                <w:color w:val="000000" w:themeColor="text1"/>
                <w:sz w:val="20"/>
                <w:szCs w:val="20"/>
                <w:vertAlign w:val="superscript"/>
              </w:rPr>
              <w:t>1</w:t>
            </w:r>
          </w:p>
        </w:tc>
        <w:tc>
          <w:tcPr>
            <w:tcW w:w="2547" w:type="dxa"/>
            <w:shd w:val="clear" w:color="auto" w:fill="auto"/>
            <w:vAlign w:val="center"/>
          </w:tcPr>
          <w:p w14:paraId="20643977" w14:textId="77777777" w:rsidR="00333AC0" w:rsidRPr="00B275D4" w:rsidRDefault="00333AC0" w:rsidP="00011A05">
            <w:pPr>
              <w:rPr>
                <w:bCs/>
                <w:iCs/>
                <w:color w:val="000000" w:themeColor="text1"/>
                <w:sz w:val="20"/>
                <w:szCs w:val="20"/>
                <w:lang w:val="en-AU"/>
              </w:rPr>
            </w:pPr>
            <w:r w:rsidRPr="00B275D4">
              <w:rPr>
                <w:bCs/>
                <w:iCs/>
                <w:color w:val="000000" w:themeColor="text1"/>
                <w:sz w:val="20"/>
                <w:szCs w:val="20"/>
                <w:lang w:val="en-AU"/>
              </w:rPr>
              <w:t>Non-GM Rc82</w:t>
            </w:r>
          </w:p>
        </w:tc>
        <w:tc>
          <w:tcPr>
            <w:tcW w:w="1876" w:type="dxa"/>
            <w:shd w:val="clear" w:color="auto" w:fill="auto"/>
            <w:vAlign w:val="center"/>
          </w:tcPr>
          <w:p w14:paraId="20643978" w14:textId="77777777" w:rsidR="00333AC0" w:rsidRPr="004F5FDE" w:rsidRDefault="00333AC0" w:rsidP="00011A05">
            <w:pPr>
              <w:rPr>
                <w:bCs/>
                <w:iCs/>
                <w:color w:val="000000" w:themeColor="text1"/>
                <w:sz w:val="20"/>
                <w:szCs w:val="20"/>
                <w:lang w:val="en-AU"/>
              </w:rPr>
            </w:pPr>
            <w:r w:rsidRPr="00B275D4">
              <w:rPr>
                <w:bCs/>
                <w:iCs/>
                <w:color w:val="000000" w:themeColor="text1"/>
                <w:sz w:val="20"/>
                <w:szCs w:val="20"/>
                <w:lang w:val="en-AU"/>
              </w:rPr>
              <w:t>N/A</w:t>
            </w:r>
          </w:p>
        </w:tc>
      </w:tr>
    </w:tbl>
    <w:p w14:paraId="2064397A" w14:textId="77777777" w:rsidR="00333AC0" w:rsidRDefault="00333AC0" w:rsidP="00011A05">
      <w:pPr>
        <w:rPr>
          <w:rFonts w:ascii="CharterBT-Roman" w:hAnsi="CharterBT-Roman" w:cs="CharterBT-Roman"/>
          <w:szCs w:val="22"/>
          <w:lang w:eastAsia="en-GB" w:bidi="ar-SA"/>
        </w:rPr>
      </w:pPr>
    </w:p>
    <w:p w14:paraId="2064397B" w14:textId="77777777" w:rsidR="00333AC0" w:rsidRDefault="00333AC0">
      <w:pPr>
        <w:widowControl/>
        <w:rPr>
          <w:rFonts w:ascii="CharterBT-Roman" w:hAnsi="CharterBT-Roman" w:cs="CharterBT-Roman"/>
          <w:szCs w:val="22"/>
          <w:lang w:eastAsia="en-GB" w:bidi="ar-SA"/>
        </w:rPr>
        <w:sectPr w:rsidR="00333AC0" w:rsidSect="00011A05">
          <w:pgSz w:w="11906" w:h="16838"/>
          <w:pgMar w:top="1418" w:right="1418" w:bottom="1418" w:left="1418" w:header="709" w:footer="709" w:gutter="0"/>
          <w:pgNumType w:start="1"/>
          <w:cols w:space="708"/>
          <w:docGrid w:linePitch="360"/>
        </w:sectPr>
      </w:pPr>
    </w:p>
    <w:p w14:paraId="2064397C" w14:textId="77777777" w:rsidR="00333AC0" w:rsidRDefault="00333AC0" w:rsidP="00011A05">
      <w:pPr>
        <w:rPr>
          <w:rFonts w:ascii="CharterBT-Roman" w:hAnsi="CharterBT-Roman" w:cs="CharterBT-Roman"/>
          <w:szCs w:val="22"/>
          <w:lang w:eastAsia="en-GB" w:bidi="ar-SA"/>
        </w:rPr>
      </w:pPr>
    </w:p>
    <w:p w14:paraId="2064397D" w14:textId="77777777" w:rsidR="00333AC0" w:rsidRDefault="00333AC0" w:rsidP="00011A05">
      <w:pPr>
        <w:rPr>
          <w:rFonts w:ascii="CharterBT-Roman" w:hAnsi="CharterBT-Roman" w:cs="CharterBT-Roman"/>
          <w:szCs w:val="22"/>
          <w:lang w:eastAsia="en-GB" w:bidi="ar-SA"/>
        </w:rPr>
      </w:pPr>
    </w:p>
    <w:p w14:paraId="2064397E" w14:textId="77777777" w:rsidR="00333AC0" w:rsidRDefault="00333AC0" w:rsidP="00011A05">
      <w:pPr>
        <w:rPr>
          <w:rFonts w:ascii="CharterBT-Roman" w:hAnsi="CharterBT-Roman" w:cs="CharterBT-Roman"/>
          <w:szCs w:val="22"/>
          <w:lang w:eastAsia="en-GB" w:bidi="ar-SA"/>
        </w:rPr>
      </w:pPr>
    </w:p>
    <w:p w14:paraId="2064397F" w14:textId="77777777" w:rsidR="00333AC0" w:rsidRDefault="00333AC0" w:rsidP="00011A05">
      <w:pPr>
        <w:keepNext/>
      </w:pPr>
      <w:r>
        <w:rPr>
          <w:noProof/>
          <w:lang w:eastAsia="en-GB" w:bidi="ar-SA"/>
        </w:rPr>
        <w:drawing>
          <wp:inline distT="0" distB="0" distL="0" distR="0" wp14:anchorId="20643F1E" wp14:editId="1AD62D8E">
            <wp:extent cx="8829675" cy="4162425"/>
            <wp:effectExtent l="0" t="0" r="9525" b="9525"/>
            <wp:docPr id="7" name="Picture 7" title="Figure 4: Breeding diagram for GR2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9675" cy="4162425"/>
                    </a:xfrm>
                    <a:prstGeom prst="rect">
                      <a:avLst/>
                    </a:prstGeom>
                    <a:noFill/>
                    <a:ln>
                      <a:noFill/>
                    </a:ln>
                  </pic:spPr>
                </pic:pic>
              </a:graphicData>
            </a:graphic>
          </wp:inline>
        </w:drawing>
      </w:r>
    </w:p>
    <w:p w14:paraId="20643980" w14:textId="77777777" w:rsidR="00333AC0" w:rsidRDefault="00333AC0" w:rsidP="00011A05">
      <w:pPr>
        <w:pStyle w:val="FSFigureTitle"/>
        <w:rPr>
          <w:color w:val="000000" w:themeColor="text1"/>
        </w:rPr>
      </w:pPr>
    </w:p>
    <w:p w14:paraId="20643981" w14:textId="77777777" w:rsidR="00333AC0" w:rsidRDefault="00333AC0" w:rsidP="00011A05">
      <w:pPr>
        <w:pStyle w:val="FSFigureTitle"/>
        <w:rPr>
          <w:color w:val="000000" w:themeColor="text1"/>
        </w:rPr>
      </w:pPr>
    </w:p>
    <w:p w14:paraId="20643982" w14:textId="77777777" w:rsidR="00333AC0" w:rsidRPr="004F5FDE" w:rsidRDefault="00333AC0" w:rsidP="00011A05">
      <w:pPr>
        <w:pStyle w:val="FSFigureTitle"/>
        <w:rPr>
          <w:color w:val="000000" w:themeColor="text1"/>
        </w:rPr>
      </w:pPr>
      <w:bookmarkStart w:id="25" w:name="_Toc470008742"/>
      <w:r w:rsidRPr="004F5FDE">
        <w:rPr>
          <w:color w:val="000000" w:themeColor="text1"/>
        </w:rPr>
        <w:t xml:space="preserve">Figure </w:t>
      </w:r>
      <w:r w:rsidRPr="004F5FDE">
        <w:rPr>
          <w:color w:val="000000" w:themeColor="text1"/>
        </w:rPr>
        <w:fldChar w:fldCharType="begin"/>
      </w:r>
      <w:r w:rsidRPr="004F5FDE">
        <w:rPr>
          <w:color w:val="000000" w:themeColor="text1"/>
        </w:rPr>
        <w:instrText xml:space="preserve"> SEQ Figure \* ARABIC </w:instrText>
      </w:r>
      <w:r w:rsidRPr="004F5FDE">
        <w:rPr>
          <w:color w:val="000000" w:themeColor="text1"/>
        </w:rPr>
        <w:fldChar w:fldCharType="separate"/>
      </w:r>
      <w:r w:rsidR="00286242">
        <w:rPr>
          <w:noProof/>
          <w:color w:val="000000" w:themeColor="text1"/>
        </w:rPr>
        <w:t>4</w:t>
      </w:r>
      <w:r w:rsidRPr="004F5FDE">
        <w:rPr>
          <w:color w:val="000000" w:themeColor="text1"/>
        </w:rPr>
        <w:fldChar w:fldCharType="end"/>
      </w:r>
      <w:r w:rsidRPr="004F5FDE">
        <w:rPr>
          <w:color w:val="000000" w:themeColor="text1"/>
        </w:rPr>
        <w:t>: Breeding diagram for GR2E rice</w:t>
      </w:r>
      <w:bookmarkEnd w:id="25"/>
    </w:p>
    <w:p w14:paraId="20643983" w14:textId="77777777" w:rsidR="00333AC0" w:rsidRDefault="00333AC0" w:rsidP="00011A05">
      <w:pPr>
        <w:rPr>
          <w:color w:val="000000" w:themeColor="text1"/>
        </w:rPr>
        <w:sectPr w:rsidR="00333AC0" w:rsidSect="00011A05">
          <w:pgSz w:w="16838" w:h="11906" w:orient="landscape"/>
          <w:pgMar w:top="1418" w:right="1418" w:bottom="1418" w:left="1418" w:header="709" w:footer="709" w:gutter="0"/>
          <w:cols w:space="708"/>
          <w:docGrid w:linePitch="360"/>
        </w:sectPr>
      </w:pPr>
    </w:p>
    <w:p w14:paraId="20643984" w14:textId="77777777" w:rsidR="00333AC0" w:rsidRPr="000A31FE" w:rsidRDefault="00333AC0" w:rsidP="00011A05">
      <w:pPr>
        <w:pStyle w:val="Heading2"/>
        <w:rPr>
          <w:color w:val="000000" w:themeColor="text1"/>
        </w:rPr>
      </w:pPr>
      <w:bookmarkStart w:id="26" w:name="_Toc470008718"/>
      <w:r w:rsidRPr="000A31FE">
        <w:rPr>
          <w:color w:val="000000" w:themeColor="text1"/>
        </w:rPr>
        <w:t xml:space="preserve">3.4 </w:t>
      </w:r>
      <w:r w:rsidRPr="000A31FE">
        <w:rPr>
          <w:color w:val="000000" w:themeColor="text1"/>
        </w:rPr>
        <w:tab/>
        <w:t>Characterisation of the genetic modification in the plant.</w:t>
      </w:r>
      <w:bookmarkEnd w:id="26"/>
    </w:p>
    <w:p w14:paraId="20643985" w14:textId="77777777" w:rsidR="00333AC0" w:rsidRPr="000A31FE" w:rsidRDefault="00333AC0" w:rsidP="00011A05">
      <w:pPr>
        <w:rPr>
          <w:color w:val="000000" w:themeColor="text1"/>
        </w:rPr>
      </w:pPr>
      <w:r w:rsidRPr="000A31FE">
        <w:rPr>
          <w:color w:val="000000" w:themeColor="text1"/>
        </w:rPr>
        <w:t xml:space="preserve">A range of analyses were undertaken to characterise the genetic modification in GR2E. These analyses focussed on the nature of the insertion of the introduced genetic elements and whether any unintended re-arrangements may have occurred as a consequence of the transformation procedure. </w:t>
      </w:r>
    </w:p>
    <w:p w14:paraId="20643986" w14:textId="77777777" w:rsidR="00333AC0" w:rsidRPr="000A31FE" w:rsidRDefault="00333AC0" w:rsidP="00011A05">
      <w:pPr>
        <w:pStyle w:val="Heading3"/>
      </w:pPr>
      <w:r w:rsidRPr="000A31FE">
        <w:t xml:space="preserve">3.4.1 </w:t>
      </w:r>
      <w:r w:rsidRPr="000A31FE">
        <w:tab/>
        <w:t>Southern blot analysis: insert copy number, insert integrity and plasmid backbone</w:t>
      </w:r>
    </w:p>
    <w:p w14:paraId="20643987" w14:textId="77777777" w:rsidR="00333AC0" w:rsidRPr="00B275D4" w:rsidRDefault="00333AC0" w:rsidP="00011A05">
      <w:pPr>
        <w:rPr>
          <w:iCs/>
          <w:color w:val="000000" w:themeColor="text1"/>
        </w:rPr>
      </w:pPr>
      <w:r w:rsidRPr="00E935D7">
        <w:rPr>
          <w:iCs/>
          <w:color w:val="000000" w:themeColor="text1"/>
        </w:rPr>
        <w:t xml:space="preserve">Genomic DNA isolation was performed as described by Murray &amp; Thompson </w:t>
      </w:r>
      <w:r w:rsidRPr="00E935D7">
        <w:rPr>
          <w:iCs/>
          <w:noProof/>
          <w:color w:val="000000" w:themeColor="text1"/>
        </w:rPr>
        <w:t>(1980)</w:t>
      </w:r>
      <w:r w:rsidRPr="00E935D7">
        <w:rPr>
          <w:iCs/>
          <w:color w:val="000000" w:themeColor="text1"/>
        </w:rPr>
        <w:t xml:space="preserve"> from pooled leaf samples</w:t>
      </w:r>
      <w:r>
        <w:rPr>
          <w:iCs/>
          <w:color w:val="000000" w:themeColor="text1"/>
        </w:rPr>
        <w:t xml:space="preserve"> from three glasshouse-grown plants</w:t>
      </w:r>
      <w:r w:rsidRPr="00E935D7">
        <w:rPr>
          <w:iCs/>
          <w:color w:val="000000" w:themeColor="text1"/>
        </w:rPr>
        <w:t xml:space="preserve"> containing the GR2E event from each of the four germplasm backgrounds </w:t>
      </w:r>
      <w:r w:rsidRPr="00B275D4">
        <w:rPr>
          <w:iCs/>
          <w:color w:val="000000" w:themeColor="text1"/>
        </w:rPr>
        <w:t xml:space="preserve">(Figure 4 and Table 2), and from the unmodified parent (Kaybonnet negative control). Multiplex PCR zygosity testing was used to confirm the identity of the samples. </w:t>
      </w:r>
    </w:p>
    <w:p w14:paraId="20643988" w14:textId="77777777" w:rsidR="00333AC0" w:rsidRPr="00B275D4" w:rsidRDefault="00333AC0" w:rsidP="00011A05">
      <w:pPr>
        <w:rPr>
          <w:iCs/>
          <w:color w:val="000000" w:themeColor="text1"/>
        </w:rPr>
      </w:pPr>
    </w:p>
    <w:p w14:paraId="20643989" w14:textId="77777777" w:rsidR="00333AC0" w:rsidRPr="00B275D4" w:rsidRDefault="00333AC0" w:rsidP="00011A05">
      <w:pPr>
        <w:rPr>
          <w:iCs/>
          <w:color w:val="000000" w:themeColor="text1"/>
        </w:rPr>
      </w:pPr>
      <w:r w:rsidRPr="00B275D4">
        <w:rPr>
          <w:iCs/>
          <w:color w:val="000000" w:themeColor="text1"/>
        </w:rPr>
        <w:t>The DNA was then used to determine the number of insertion sites, and the integrity of the inserted T-DNA and to test for the presence or absence of plasmid vector backbone sequences by Southern blotting. For each characterisation, the DNA was first digested with appropriate restriction enzyme(s) before electrophoretic separation and visualisation following labelling with appropriate digoxigenin (DIG)-labelled probes. As a positive control, Kaybonnet DNA was spiked with the reference plasmid (pSYN12424) in an amount equivalent to 1.0 or 0.2 gene copies per rice genome.</w:t>
      </w:r>
    </w:p>
    <w:p w14:paraId="2064398A" w14:textId="77777777" w:rsidR="00333AC0" w:rsidRPr="00B275D4" w:rsidRDefault="00333AC0" w:rsidP="00011A05">
      <w:pPr>
        <w:tabs>
          <w:tab w:val="left" w:pos="851"/>
        </w:tabs>
        <w:autoSpaceDE w:val="0"/>
        <w:autoSpaceDN w:val="0"/>
        <w:adjustRightInd w:val="0"/>
        <w:spacing w:before="120" w:after="120"/>
        <w:rPr>
          <w:rFonts w:cs="Arial"/>
          <w:b/>
          <w:i/>
          <w:iCs/>
          <w:color w:val="000000" w:themeColor="text1"/>
          <w:szCs w:val="22"/>
        </w:rPr>
      </w:pPr>
      <w:r w:rsidRPr="00B275D4">
        <w:rPr>
          <w:rFonts w:cs="Arial"/>
          <w:b/>
          <w:i/>
          <w:iCs/>
          <w:color w:val="000000" w:themeColor="text1"/>
          <w:szCs w:val="22"/>
        </w:rPr>
        <w:t xml:space="preserve">3.4.1.1 </w:t>
      </w:r>
      <w:r w:rsidRPr="00B275D4">
        <w:rPr>
          <w:rFonts w:cs="Arial"/>
          <w:b/>
          <w:i/>
          <w:iCs/>
          <w:color w:val="000000" w:themeColor="text1"/>
          <w:szCs w:val="22"/>
        </w:rPr>
        <w:tab/>
        <w:t>Number of insertion sites</w:t>
      </w:r>
    </w:p>
    <w:p w14:paraId="2064398B" w14:textId="77777777" w:rsidR="00333AC0" w:rsidRPr="00AE523A" w:rsidRDefault="00333AC0" w:rsidP="00011A05">
      <w:pPr>
        <w:rPr>
          <w:iCs/>
          <w:color w:val="000000" w:themeColor="text1"/>
        </w:rPr>
      </w:pPr>
      <w:r w:rsidRPr="00B275D4">
        <w:rPr>
          <w:iCs/>
          <w:color w:val="000000" w:themeColor="text1"/>
        </w:rPr>
        <w:t>DNA was digested with two restriction enzymes (</w:t>
      </w:r>
      <w:r w:rsidRPr="00B275D4">
        <w:rPr>
          <w:i/>
          <w:iCs/>
          <w:color w:val="000000" w:themeColor="text1"/>
        </w:rPr>
        <w:t>Hin</w:t>
      </w:r>
      <w:r w:rsidRPr="00B275D4">
        <w:rPr>
          <w:iCs/>
          <w:color w:val="000000" w:themeColor="text1"/>
        </w:rPr>
        <w:t xml:space="preserve">dIII or </w:t>
      </w:r>
      <w:r w:rsidRPr="00B275D4">
        <w:rPr>
          <w:i/>
          <w:iCs/>
          <w:color w:val="000000" w:themeColor="text1"/>
        </w:rPr>
        <w:t>Sph</w:t>
      </w:r>
      <w:r w:rsidRPr="00B275D4">
        <w:rPr>
          <w:iCs/>
          <w:color w:val="000000" w:themeColor="text1"/>
        </w:rPr>
        <w:t xml:space="preserve">I) with unique recognition sites within the T-DNA (Figure 3). Following Southern blotting, three probes were used to cover each of the </w:t>
      </w:r>
      <w:r w:rsidRPr="00B275D4">
        <w:rPr>
          <w:i/>
          <w:iCs/>
          <w:color w:val="000000" w:themeColor="text1"/>
        </w:rPr>
        <w:t>Zmpsy1</w:t>
      </w:r>
      <w:r w:rsidRPr="00B275D4">
        <w:rPr>
          <w:iCs/>
          <w:color w:val="000000" w:themeColor="text1"/>
        </w:rPr>
        <w:t xml:space="preserve">, </w:t>
      </w:r>
      <w:r w:rsidRPr="00B275D4">
        <w:rPr>
          <w:i/>
          <w:iCs/>
          <w:color w:val="000000" w:themeColor="text1"/>
        </w:rPr>
        <w:t>SSU-crtI</w:t>
      </w:r>
      <w:r w:rsidRPr="00B275D4">
        <w:rPr>
          <w:iCs/>
          <w:color w:val="000000" w:themeColor="text1"/>
        </w:rPr>
        <w:t xml:space="preserve"> and </w:t>
      </w:r>
      <w:r w:rsidRPr="00B275D4">
        <w:rPr>
          <w:i/>
          <w:iCs/>
          <w:color w:val="000000" w:themeColor="text1"/>
        </w:rPr>
        <w:t>pmi</w:t>
      </w:r>
      <w:r w:rsidRPr="00B275D4">
        <w:rPr>
          <w:iCs/>
          <w:color w:val="000000" w:themeColor="text1"/>
        </w:rPr>
        <w:t xml:space="preserve"> genes.</w:t>
      </w:r>
      <w:r w:rsidRPr="00AE523A">
        <w:rPr>
          <w:iCs/>
          <w:color w:val="000000" w:themeColor="text1"/>
        </w:rPr>
        <w:t xml:space="preserve"> </w:t>
      </w:r>
    </w:p>
    <w:p w14:paraId="2064398C" w14:textId="77777777" w:rsidR="00333AC0" w:rsidRPr="00AE523A" w:rsidRDefault="00333AC0" w:rsidP="00011A05">
      <w:pPr>
        <w:rPr>
          <w:iCs/>
          <w:color w:val="000000" w:themeColor="text1"/>
        </w:rPr>
      </w:pPr>
    </w:p>
    <w:p w14:paraId="2064398D" w14:textId="77777777" w:rsidR="00333AC0" w:rsidRPr="00AE523A" w:rsidRDefault="00333AC0" w:rsidP="00011A05">
      <w:pPr>
        <w:rPr>
          <w:color w:val="000000" w:themeColor="text1"/>
        </w:rPr>
      </w:pPr>
      <w:r w:rsidRPr="00AE523A">
        <w:rPr>
          <w:iCs/>
          <w:color w:val="000000" w:themeColor="text1"/>
        </w:rPr>
        <w:t xml:space="preserve">In analysing the results, the </w:t>
      </w:r>
      <w:r w:rsidRPr="00AE523A">
        <w:rPr>
          <w:color w:val="000000" w:themeColor="text1"/>
        </w:rPr>
        <w:t>insertion of a single copy of the T-DNA should have resulted in:</w:t>
      </w:r>
    </w:p>
    <w:p w14:paraId="2064398E" w14:textId="77777777" w:rsidR="00333AC0" w:rsidRPr="00AE523A" w:rsidRDefault="00333AC0" w:rsidP="00011A05">
      <w:pPr>
        <w:rPr>
          <w:iCs/>
          <w:color w:val="000000" w:themeColor="text1"/>
        </w:rPr>
      </w:pPr>
    </w:p>
    <w:p w14:paraId="2064398F" w14:textId="77777777" w:rsidR="00333AC0" w:rsidRPr="00AE523A" w:rsidRDefault="00333AC0" w:rsidP="0022311E">
      <w:pPr>
        <w:pStyle w:val="ListParagraph"/>
        <w:widowControl/>
        <w:numPr>
          <w:ilvl w:val="0"/>
          <w:numId w:val="9"/>
        </w:numPr>
        <w:autoSpaceDE w:val="0"/>
        <w:autoSpaceDN w:val="0"/>
        <w:adjustRightInd w:val="0"/>
        <w:ind w:left="567" w:hanging="567"/>
        <w:rPr>
          <w:rFonts w:ascii="CharterBT-Roman" w:hAnsi="CharterBT-Roman" w:cs="CharterBT-Roman"/>
          <w:color w:val="000000" w:themeColor="text1"/>
          <w:szCs w:val="22"/>
          <w:lang w:eastAsia="en-GB" w:bidi="ar-SA"/>
        </w:rPr>
      </w:pPr>
      <w:r w:rsidRPr="00AE523A">
        <w:rPr>
          <w:rFonts w:ascii="CharterBT-Roman" w:hAnsi="CharterBT-Roman" w:cs="CharterBT-Roman"/>
          <w:color w:val="000000" w:themeColor="text1"/>
          <w:szCs w:val="22"/>
          <w:lang w:eastAsia="en-GB" w:bidi="ar-SA"/>
        </w:rPr>
        <w:t xml:space="preserve">a single detectable hybridization fragment of </w:t>
      </w:r>
      <w:r w:rsidRPr="00AE523A">
        <w:rPr>
          <w:rFonts w:ascii="CMMI10" w:hAnsi="CMMI10" w:cs="CMMI10"/>
          <w:color w:val="000000" w:themeColor="text1"/>
          <w:sz w:val="23"/>
          <w:szCs w:val="23"/>
          <w:lang w:eastAsia="en-GB" w:bidi="ar-SA"/>
        </w:rPr>
        <w:t>&gt;</w:t>
      </w:r>
      <w:r w:rsidRPr="00AE523A">
        <w:rPr>
          <w:rFonts w:ascii="CharterBT-Roman" w:hAnsi="CharterBT-Roman" w:cs="CharterBT-Roman"/>
          <w:color w:val="000000" w:themeColor="text1"/>
          <w:szCs w:val="22"/>
          <w:lang w:eastAsia="en-GB" w:bidi="ar-SA"/>
        </w:rPr>
        <w:t xml:space="preserve">3020 bp following </w:t>
      </w:r>
      <w:r w:rsidRPr="00AE523A">
        <w:rPr>
          <w:rFonts w:ascii="CharterBT-Italic" w:hAnsi="CharterBT-Italic" w:cs="CharterBT-Italic"/>
          <w:i/>
          <w:iCs/>
          <w:color w:val="000000" w:themeColor="text1"/>
          <w:szCs w:val="22"/>
          <w:lang w:eastAsia="en-GB" w:bidi="ar-SA"/>
        </w:rPr>
        <w:t>Hin</w:t>
      </w:r>
      <w:r w:rsidRPr="00AE523A">
        <w:rPr>
          <w:rFonts w:ascii="CharterBT-Roman" w:hAnsi="CharterBT-Roman" w:cs="CharterBT-Roman"/>
          <w:color w:val="000000" w:themeColor="text1"/>
          <w:szCs w:val="22"/>
          <w:lang w:eastAsia="en-GB" w:bidi="ar-SA"/>
        </w:rPr>
        <w:t xml:space="preserve">dIII digestion and hybridization with the </w:t>
      </w:r>
      <w:r w:rsidRPr="00AE523A">
        <w:rPr>
          <w:rFonts w:ascii="CharterBT-Italic" w:hAnsi="CharterBT-Italic" w:cs="CharterBT-Italic"/>
          <w:i/>
          <w:iCs/>
          <w:color w:val="000000" w:themeColor="text1"/>
          <w:szCs w:val="22"/>
          <w:lang w:eastAsia="en-GB" w:bidi="ar-SA"/>
        </w:rPr>
        <w:t xml:space="preserve">SSU-crtI </w:t>
      </w:r>
      <w:r w:rsidRPr="00AE523A">
        <w:rPr>
          <w:rFonts w:ascii="CharterBT-Roman" w:hAnsi="CharterBT-Roman" w:cs="CharterBT-Roman"/>
          <w:color w:val="000000" w:themeColor="text1"/>
          <w:szCs w:val="22"/>
          <w:lang w:eastAsia="en-GB" w:bidi="ar-SA"/>
        </w:rPr>
        <w:t xml:space="preserve">gene probe, and </w:t>
      </w:r>
      <w:r w:rsidRPr="00AE523A">
        <w:rPr>
          <w:rFonts w:ascii="CMMI10" w:hAnsi="CMMI10" w:cs="CMMI10"/>
          <w:color w:val="000000" w:themeColor="text1"/>
          <w:sz w:val="23"/>
          <w:szCs w:val="23"/>
          <w:lang w:eastAsia="en-GB" w:bidi="ar-SA"/>
        </w:rPr>
        <w:t>&gt;</w:t>
      </w:r>
      <w:r w:rsidRPr="00AE523A">
        <w:rPr>
          <w:rFonts w:ascii="CharterBT-Roman" w:hAnsi="CharterBT-Roman" w:cs="CharterBT-Roman"/>
          <w:color w:val="000000" w:themeColor="text1"/>
          <w:szCs w:val="22"/>
          <w:lang w:eastAsia="en-GB" w:bidi="ar-SA"/>
        </w:rPr>
        <w:t xml:space="preserve">6010 bp following hybridization with either the </w:t>
      </w:r>
      <w:r w:rsidRPr="00AE523A">
        <w:rPr>
          <w:rFonts w:ascii="CharterBT-Roman" w:hAnsi="CharterBT-Roman" w:cs="CharterBT-Roman"/>
          <w:i/>
          <w:color w:val="000000" w:themeColor="text1"/>
          <w:szCs w:val="22"/>
          <w:lang w:eastAsia="en-GB" w:bidi="ar-SA"/>
        </w:rPr>
        <w:t>Zm</w:t>
      </w:r>
      <w:r w:rsidRPr="00AE523A">
        <w:rPr>
          <w:rFonts w:ascii="CharterBT-Italic" w:hAnsi="CharterBT-Italic" w:cs="CharterBT-Italic"/>
          <w:i/>
          <w:iCs/>
          <w:color w:val="000000" w:themeColor="text1"/>
          <w:szCs w:val="22"/>
          <w:lang w:eastAsia="en-GB" w:bidi="ar-SA"/>
        </w:rPr>
        <w:t xml:space="preserve">psy1 </w:t>
      </w:r>
      <w:r w:rsidRPr="00AE523A">
        <w:rPr>
          <w:rFonts w:ascii="CharterBT-Roman" w:hAnsi="CharterBT-Roman" w:cs="CharterBT-Roman"/>
          <w:color w:val="000000" w:themeColor="text1"/>
          <w:szCs w:val="22"/>
          <w:lang w:eastAsia="en-GB" w:bidi="ar-SA"/>
        </w:rPr>
        <w:t xml:space="preserve">or </w:t>
      </w:r>
      <w:r w:rsidRPr="00AE523A">
        <w:rPr>
          <w:rFonts w:ascii="CharterBT-Italic" w:hAnsi="CharterBT-Italic" w:cs="CharterBT-Italic"/>
          <w:i/>
          <w:iCs/>
          <w:color w:val="000000" w:themeColor="text1"/>
          <w:szCs w:val="22"/>
          <w:lang w:eastAsia="en-GB" w:bidi="ar-SA"/>
        </w:rPr>
        <w:t xml:space="preserve">pmi </w:t>
      </w:r>
      <w:r w:rsidRPr="00AE523A">
        <w:rPr>
          <w:rFonts w:ascii="CharterBT-Roman" w:hAnsi="CharterBT-Roman" w:cs="CharterBT-Roman"/>
          <w:color w:val="000000" w:themeColor="text1"/>
          <w:szCs w:val="22"/>
          <w:lang w:eastAsia="en-GB" w:bidi="ar-SA"/>
        </w:rPr>
        <w:t>probes.</w:t>
      </w:r>
    </w:p>
    <w:p w14:paraId="20643990" w14:textId="77777777" w:rsidR="00333AC0" w:rsidRPr="00AE523A" w:rsidRDefault="00333AC0" w:rsidP="00011A05">
      <w:pPr>
        <w:pStyle w:val="ListParagraph"/>
        <w:widowControl/>
        <w:autoSpaceDE w:val="0"/>
        <w:autoSpaceDN w:val="0"/>
        <w:adjustRightInd w:val="0"/>
        <w:ind w:left="567"/>
        <w:rPr>
          <w:rFonts w:ascii="CharterBT-Roman" w:hAnsi="CharterBT-Roman" w:cs="CharterBT-Roman"/>
          <w:color w:val="000000" w:themeColor="text1"/>
          <w:szCs w:val="22"/>
          <w:lang w:eastAsia="en-GB" w:bidi="ar-SA"/>
        </w:rPr>
      </w:pPr>
    </w:p>
    <w:p w14:paraId="20643991" w14:textId="77777777" w:rsidR="00333AC0" w:rsidRPr="00AE523A" w:rsidRDefault="00333AC0" w:rsidP="0022311E">
      <w:pPr>
        <w:pStyle w:val="ListParagraph"/>
        <w:widowControl/>
        <w:numPr>
          <w:ilvl w:val="0"/>
          <w:numId w:val="9"/>
        </w:numPr>
        <w:autoSpaceDE w:val="0"/>
        <w:autoSpaceDN w:val="0"/>
        <w:adjustRightInd w:val="0"/>
        <w:ind w:left="567" w:hanging="567"/>
        <w:rPr>
          <w:rFonts w:ascii="CharterBT-Roman" w:hAnsi="CharterBT-Roman" w:cs="CharterBT-Roman"/>
          <w:color w:val="000000" w:themeColor="text1"/>
          <w:szCs w:val="22"/>
          <w:lang w:eastAsia="en-GB" w:bidi="ar-SA"/>
        </w:rPr>
      </w:pPr>
      <w:r w:rsidRPr="00AE523A">
        <w:rPr>
          <w:rFonts w:ascii="CharterBT-Roman" w:hAnsi="CharterBT-Roman" w:cs="CharterBT-Roman"/>
          <w:color w:val="000000" w:themeColor="text1"/>
          <w:szCs w:val="22"/>
          <w:lang w:eastAsia="en-GB" w:bidi="ar-SA"/>
        </w:rPr>
        <w:t xml:space="preserve">a single detectable hybridization fragment of </w:t>
      </w:r>
      <w:r w:rsidRPr="00AE523A">
        <w:rPr>
          <w:rFonts w:ascii="CMMI10" w:hAnsi="CMMI10" w:cs="CMMI10"/>
          <w:color w:val="000000" w:themeColor="text1"/>
          <w:sz w:val="23"/>
          <w:szCs w:val="23"/>
          <w:lang w:eastAsia="en-GB" w:bidi="ar-SA"/>
        </w:rPr>
        <w:t>&gt;</w:t>
      </w:r>
      <w:r w:rsidRPr="00AE523A">
        <w:rPr>
          <w:rFonts w:ascii="CharterBT-Roman" w:hAnsi="CharterBT-Roman" w:cs="CharterBT-Roman"/>
          <w:color w:val="000000" w:themeColor="text1"/>
          <w:szCs w:val="22"/>
          <w:lang w:eastAsia="en-GB" w:bidi="ar-SA"/>
        </w:rPr>
        <w:t xml:space="preserve">5422 bp following </w:t>
      </w:r>
      <w:r w:rsidRPr="00AE523A">
        <w:rPr>
          <w:rFonts w:ascii="CharterBT-Italic" w:hAnsi="CharterBT-Italic" w:cs="CharterBT-Italic"/>
          <w:i/>
          <w:iCs/>
          <w:color w:val="000000" w:themeColor="text1"/>
          <w:szCs w:val="22"/>
          <w:lang w:eastAsia="en-GB" w:bidi="ar-SA"/>
        </w:rPr>
        <w:t>Sph</w:t>
      </w:r>
      <w:r w:rsidRPr="00AE523A">
        <w:rPr>
          <w:rFonts w:ascii="CharterBT-Roman" w:hAnsi="CharterBT-Roman" w:cs="CharterBT-Roman"/>
          <w:color w:val="000000" w:themeColor="text1"/>
          <w:szCs w:val="22"/>
          <w:lang w:eastAsia="en-GB" w:bidi="ar-SA"/>
        </w:rPr>
        <w:t xml:space="preserve">I digestion and hybridization with the </w:t>
      </w:r>
      <w:r w:rsidRPr="00AE523A">
        <w:rPr>
          <w:rFonts w:ascii="CharterBT-Italic" w:hAnsi="CharterBT-Italic" w:cs="CharterBT-Italic"/>
          <w:i/>
          <w:iCs/>
          <w:color w:val="000000" w:themeColor="text1"/>
          <w:szCs w:val="22"/>
          <w:lang w:eastAsia="en-GB" w:bidi="ar-SA"/>
        </w:rPr>
        <w:t xml:space="preserve">SSU-crtI </w:t>
      </w:r>
      <w:r w:rsidRPr="00AE523A">
        <w:rPr>
          <w:rFonts w:ascii="CharterBT-Roman" w:hAnsi="CharterBT-Roman" w:cs="CharterBT-Roman"/>
          <w:color w:val="000000" w:themeColor="text1"/>
          <w:szCs w:val="22"/>
          <w:lang w:eastAsia="en-GB" w:bidi="ar-SA"/>
        </w:rPr>
        <w:t xml:space="preserve">or </w:t>
      </w:r>
      <w:r w:rsidRPr="00AE523A">
        <w:rPr>
          <w:rFonts w:ascii="CharterBT-Italic" w:hAnsi="CharterBT-Italic" w:cs="CharterBT-Italic"/>
          <w:i/>
          <w:iCs/>
          <w:color w:val="000000" w:themeColor="text1"/>
          <w:szCs w:val="22"/>
          <w:lang w:eastAsia="en-GB" w:bidi="ar-SA"/>
        </w:rPr>
        <w:t xml:space="preserve">psy1 </w:t>
      </w:r>
      <w:r w:rsidRPr="00AE523A">
        <w:rPr>
          <w:rFonts w:ascii="CharterBT-Roman" w:hAnsi="CharterBT-Roman" w:cs="CharterBT-Roman"/>
          <w:color w:val="000000" w:themeColor="text1"/>
          <w:szCs w:val="22"/>
          <w:lang w:eastAsia="en-GB" w:bidi="ar-SA"/>
        </w:rPr>
        <w:t xml:space="preserve">probes, and </w:t>
      </w:r>
      <w:r w:rsidRPr="00AE523A">
        <w:rPr>
          <w:rFonts w:ascii="CMMI10" w:hAnsi="CMMI10" w:cs="CMMI10"/>
          <w:color w:val="000000" w:themeColor="text1"/>
          <w:sz w:val="23"/>
          <w:szCs w:val="23"/>
          <w:lang w:eastAsia="en-GB" w:bidi="ar-SA"/>
        </w:rPr>
        <w:t>&gt;</w:t>
      </w:r>
      <w:r w:rsidRPr="00AE523A">
        <w:rPr>
          <w:rFonts w:ascii="CharterBT-Roman" w:hAnsi="CharterBT-Roman" w:cs="CharterBT-Roman"/>
          <w:color w:val="000000" w:themeColor="text1"/>
          <w:szCs w:val="22"/>
          <w:lang w:eastAsia="en-GB" w:bidi="ar-SA"/>
        </w:rPr>
        <w:t xml:space="preserve">3608 bp following hybridization with the </w:t>
      </w:r>
      <w:r w:rsidRPr="00AE523A">
        <w:rPr>
          <w:rFonts w:ascii="CharterBT-Italic" w:hAnsi="CharterBT-Italic" w:cs="CharterBT-Italic"/>
          <w:i/>
          <w:iCs/>
          <w:color w:val="000000" w:themeColor="text1"/>
          <w:szCs w:val="22"/>
          <w:lang w:eastAsia="en-GB" w:bidi="ar-SA"/>
        </w:rPr>
        <w:t xml:space="preserve">pmi </w:t>
      </w:r>
      <w:r w:rsidRPr="00AE523A">
        <w:rPr>
          <w:rFonts w:ascii="CharterBT-Roman" w:hAnsi="CharterBT-Roman" w:cs="CharterBT-Roman"/>
          <w:color w:val="000000" w:themeColor="text1"/>
          <w:szCs w:val="22"/>
          <w:lang w:eastAsia="en-GB" w:bidi="ar-SA"/>
        </w:rPr>
        <w:t>probe.</w:t>
      </w:r>
    </w:p>
    <w:p w14:paraId="20643992" w14:textId="77777777" w:rsidR="00333AC0" w:rsidRPr="00AE523A" w:rsidRDefault="00333AC0" w:rsidP="00011A05">
      <w:pPr>
        <w:rPr>
          <w:color w:val="000000" w:themeColor="text1"/>
          <w:lang w:bidi="ar-SA"/>
        </w:rPr>
      </w:pPr>
    </w:p>
    <w:p w14:paraId="20643993" w14:textId="77777777" w:rsidR="00333AC0" w:rsidRPr="00AE523A" w:rsidRDefault="00333AC0" w:rsidP="00011A05">
      <w:pPr>
        <w:pStyle w:val="FSBullet1"/>
        <w:numPr>
          <w:ilvl w:val="0"/>
          <w:numId w:val="0"/>
        </w:numPr>
        <w:rPr>
          <w:color w:val="000000" w:themeColor="text1"/>
        </w:rPr>
      </w:pPr>
      <w:r w:rsidRPr="00AE523A">
        <w:rPr>
          <w:color w:val="000000" w:themeColor="text1"/>
        </w:rPr>
        <w:t>Other considerations are:</w:t>
      </w:r>
    </w:p>
    <w:p w14:paraId="20643994" w14:textId="77777777" w:rsidR="00333AC0" w:rsidRPr="00AE523A" w:rsidRDefault="00333AC0" w:rsidP="00011A05">
      <w:pPr>
        <w:pStyle w:val="FSBullet1"/>
        <w:numPr>
          <w:ilvl w:val="0"/>
          <w:numId w:val="0"/>
        </w:numPr>
        <w:rPr>
          <w:color w:val="000000" w:themeColor="text1"/>
        </w:rPr>
      </w:pPr>
    </w:p>
    <w:p w14:paraId="20643995" w14:textId="77777777" w:rsidR="00333AC0" w:rsidRPr="00AE523A" w:rsidRDefault="00333AC0" w:rsidP="0022311E">
      <w:pPr>
        <w:pStyle w:val="FSBullet2"/>
        <w:numPr>
          <w:ilvl w:val="0"/>
          <w:numId w:val="10"/>
        </w:numPr>
        <w:ind w:left="567" w:hanging="567"/>
        <w:rPr>
          <w:color w:val="000000" w:themeColor="text1"/>
        </w:rPr>
      </w:pPr>
      <w:r w:rsidRPr="00AE523A">
        <w:rPr>
          <w:color w:val="000000" w:themeColor="text1"/>
        </w:rPr>
        <w:t xml:space="preserve">The presence of additional bands in GR2E but not </w:t>
      </w:r>
      <w:r>
        <w:rPr>
          <w:color w:val="000000" w:themeColor="text1"/>
        </w:rPr>
        <w:t xml:space="preserve">in </w:t>
      </w:r>
      <w:r w:rsidRPr="00AE523A">
        <w:rPr>
          <w:color w:val="000000" w:themeColor="text1"/>
        </w:rPr>
        <w:t>the negative control would indicate the presence of a second insert.</w:t>
      </w:r>
    </w:p>
    <w:p w14:paraId="20643996" w14:textId="77777777" w:rsidR="00333AC0" w:rsidRPr="00AE523A" w:rsidRDefault="00333AC0" w:rsidP="00011A05">
      <w:pPr>
        <w:pStyle w:val="FSBullet2"/>
        <w:numPr>
          <w:ilvl w:val="0"/>
          <w:numId w:val="0"/>
        </w:numPr>
        <w:ind w:left="567" w:hanging="567"/>
        <w:rPr>
          <w:color w:val="000000" w:themeColor="text1"/>
        </w:rPr>
      </w:pPr>
    </w:p>
    <w:p w14:paraId="20643997" w14:textId="77777777" w:rsidR="00333AC0" w:rsidRDefault="00333AC0" w:rsidP="0022311E">
      <w:pPr>
        <w:pStyle w:val="FSBullet2"/>
        <w:numPr>
          <w:ilvl w:val="0"/>
          <w:numId w:val="10"/>
        </w:numPr>
        <w:ind w:left="567" w:hanging="567"/>
        <w:rPr>
          <w:color w:val="000000" w:themeColor="text1"/>
        </w:rPr>
      </w:pPr>
      <w:r w:rsidRPr="00AE523A">
        <w:rPr>
          <w:color w:val="000000" w:themeColor="text1"/>
        </w:rPr>
        <w:t xml:space="preserve">As the </w:t>
      </w:r>
      <w:r>
        <w:rPr>
          <w:color w:val="000000" w:themeColor="text1"/>
        </w:rPr>
        <w:t>native</w:t>
      </w:r>
      <w:r w:rsidRPr="00AE523A">
        <w:rPr>
          <w:color w:val="000000" w:themeColor="text1"/>
        </w:rPr>
        <w:t xml:space="preserve"> Kaybonnet genome contains a rice </w:t>
      </w:r>
      <w:r w:rsidRPr="00AE523A">
        <w:rPr>
          <w:i/>
          <w:color w:val="000000" w:themeColor="text1"/>
        </w:rPr>
        <w:t>psy1</w:t>
      </w:r>
      <w:r w:rsidRPr="00AE523A">
        <w:rPr>
          <w:color w:val="000000" w:themeColor="text1"/>
        </w:rPr>
        <w:t xml:space="preserve"> gene, it would</w:t>
      </w:r>
      <w:r>
        <w:rPr>
          <w:color w:val="000000" w:themeColor="text1"/>
        </w:rPr>
        <w:t xml:space="preserve"> be expected there would be</w:t>
      </w:r>
      <w:r w:rsidRPr="00AE523A">
        <w:rPr>
          <w:color w:val="000000" w:themeColor="text1"/>
        </w:rPr>
        <w:t xml:space="preserve"> hybridisation between sequences in this and the </w:t>
      </w:r>
      <w:r w:rsidRPr="00AE523A">
        <w:rPr>
          <w:i/>
          <w:color w:val="000000" w:themeColor="text1"/>
        </w:rPr>
        <w:t>Zmpsy1</w:t>
      </w:r>
      <w:r w:rsidRPr="00AE523A">
        <w:rPr>
          <w:color w:val="000000" w:themeColor="text1"/>
        </w:rPr>
        <w:t xml:space="preserve"> probe which share some 83% sequence identity.</w:t>
      </w:r>
    </w:p>
    <w:p w14:paraId="20643998" w14:textId="77777777" w:rsidR="00333AC0" w:rsidRDefault="00333AC0" w:rsidP="00011A05">
      <w:pPr>
        <w:pStyle w:val="ListParagraph"/>
        <w:rPr>
          <w:color w:val="000000" w:themeColor="text1"/>
        </w:rPr>
      </w:pPr>
    </w:p>
    <w:p w14:paraId="20643999" w14:textId="77777777" w:rsidR="00333AC0" w:rsidRDefault="00333AC0" w:rsidP="00011A05">
      <w:pPr>
        <w:pStyle w:val="FSBullet2"/>
        <w:numPr>
          <w:ilvl w:val="0"/>
          <w:numId w:val="0"/>
        </w:numPr>
        <w:rPr>
          <w:color w:val="000000" w:themeColor="text1"/>
        </w:rPr>
      </w:pPr>
      <w:r>
        <w:rPr>
          <w:color w:val="000000" w:themeColor="text1"/>
        </w:rPr>
        <w:t xml:space="preserve">For genomic DNA from event GR2E in all four genetic backgrounds, and for Kaybonnet spiked with pSYN1242, single hybridising fragments of the predicted sizes were detected for each restriction enzyme digest. For all samples, including the negative control, a weak hybridisation fragment was noted for the </w:t>
      </w:r>
      <w:r w:rsidRPr="00B43892">
        <w:rPr>
          <w:i/>
          <w:color w:val="000000" w:themeColor="text1"/>
        </w:rPr>
        <w:t>Zmpsy1</w:t>
      </w:r>
      <w:r>
        <w:rPr>
          <w:color w:val="000000" w:themeColor="text1"/>
        </w:rPr>
        <w:t xml:space="preserve"> probe and was attributed to the presence of the endogenous rice </w:t>
      </w:r>
      <w:r w:rsidRPr="00B43892">
        <w:rPr>
          <w:i/>
          <w:color w:val="000000" w:themeColor="text1"/>
        </w:rPr>
        <w:t>psy1</w:t>
      </w:r>
      <w:r>
        <w:rPr>
          <w:color w:val="000000" w:themeColor="text1"/>
        </w:rPr>
        <w:t xml:space="preserve"> gene. No other fragments were detected in the negative control.</w:t>
      </w:r>
    </w:p>
    <w:p w14:paraId="2064399A" w14:textId="77777777" w:rsidR="00333AC0" w:rsidRPr="00B43892" w:rsidRDefault="00333AC0" w:rsidP="00011A05">
      <w:pPr>
        <w:pStyle w:val="FSBullet2"/>
        <w:numPr>
          <w:ilvl w:val="0"/>
          <w:numId w:val="0"/>
        </w:numPr>
        <w:rPr>
          <w:color w:val="000000" w:themeColor="text1"/>
        </w:rPr>
      </w:pPr>
      <w:r w:rsidRPr="00B43892">
        <w:rPr>
          <w:color w:val="000000" w:themeColor="text1"/>
        </w:rPr>
        <w:t>The results are consistent with the presence of a single insertion site in event GR2E.</w:t>
      </w:r>
    </w:p>
    <w:p w14:paraId="2064399B" w14:textId="77777777" w:rsidR="00333AC0" w:rsidRPr="00B43892" w:rsidRDefault="00333AC0" w:rsidP="00011A05">
      <w:pPr>
        <w:tabs>
          <w:tab w:val="left" w:pos="851"/>
        </w:tabs>
        <w:autoSpaceDE w:val="0"/>
        <w:autoSpaceDN w:val="0"/>
        <w:adjustRightInd w:val="0"/>
        <w:spacing w:before="120" w:after="120"/>
        <w:rPr>
          <w:rFonts w:cs="Arial"/>
          <w:b/>
          <w:i/>
          <w:iCs/>
          <w:color w:val="000000" w:themeColor="text1"/>
          <w:szCs w:val="22"/>
        </w:rPr>
      </w:pPr>
      <w:r w:rsidRPr="00B43892">
        <w:rPr>
          <w:rFonts w:cs="Arial"/>
          <w:b/>
          <w:i/>
          <w:iCs/>
          <w:color w:val="000000" w:themeColor="text1"/>
          <w:szCs w:val="22"/>
        </w:rPr>
        <w:t xml:space="preserve">3.4.1.2 </w:t>
      </w:r>
      <w:r w:rsidRPr="00B43892">
        <w:rPr>
          <w:rFonts w:cs="Arial"/>
          <w:b/>
          <w:i/>
          <w:iCs/>
          <w:color w:val="000000" w:themeColor="text1"/>
          <w:szCs w:val="22"/>
        </w:rPr>
        <w:tab/>
        <w:t>Insert integrity</w:t>
      </w:r>
    </w:p>
    <w:p w14:paraId="2064399C" w14:textId="77777777" w:rsidR="00333AC0" w:rsidRPr="00185ACC" w:rsidRDefault="00333AC0" w:rsidP="00011A05">
      <w:pPr>
        <w:rPr>
          <w:iCs/>
          <w:color w:val="000000" w:themeColor="text1"/>
        </w:rPr>
      </w:pPr>
      <w:r>
        <w:rPr>
          <w:rFonts w:cs="Arial"/>
          <w:iCs/>
          <w:color w:val="000000" w:themeColor="text1"/>
          <w:szCs w:val="22"/>
        </w:rPr>
        <w:t xml:space="preserve">The DNA was digested with a combination of the two restriction enzymes </w:t>
      </w:r>
      <w:r w:rsidRPr="00185ACC">
        <w:rPr>
          <w:rFonts w:cs="Arial"/>
          <w:i/>
          <w:iCs/>
          <w:color w:val="000000" w:themeColor="text1"/>
          <w:szCs w:val="22"/>
        </w:rPr>
        <w:t>AscI</w:t>
      </w:r>
      <w:r>
        <w:rPr>
          <w:rFonts w:cs="Arial"/>
          <w:iCs/>
          <w:color w:val="000000" w:themeColor="text1"/>
          <w:szCs w:val="22"/>
        </w:rPr>
        <w:t xml:space="preserve"> plus </w:t>
      </w:r>
      <w:r w:rsidRPr="00185ACC">
        <w:rPr>
          <w:rFonts w:cs="Arial"/>
          <w:i/>
          <w:iCs/>
          <w:color w:val="000000" w:themeColor="text1"/>
          <w:szCs w:val="22"/>
        </w:rPr>
        <w:t>XmaI</w:t>
      </w:r>
      <w:r>
        <w:rPr>
          <w:rFonts w:cs="Arial"/>
          <w:iCs/>
          <w:color w:val="000000" w:themeColor="text1"/>
          <w:szCs w:val="22"/>
        </w:rPr>
        <w:t xml:space="preserve"> and probed with the </w:t>
      </w:r>
      <w:r>
        <w:rPr>
          <w:iCs/>
          <w:color w:val="000000" w:themeColor="text1"/>
        </w:rPr>
        <w:t>t</w:t>
      </w:r>
      <w:r w:rsidRPr="00AE523A">
        <w:rPr>
          <w:iCs/>
          <w:color w:val="000000" w:themeColor="text1"/>
        </w:rPr>
        <w:t>hree p</w:t>
      </w:r>
      <w:r>
        <w:rPr>
          <w:iCs/>
          <w:color w:val="000000" w:themeColor="text1"/>
        </w:rPr>
        <w:t>robes covering</w:t>
      </w:r>
      <w:r w:rsidRPr="00AE523A">
        <w:rPr>
          <w:iCs/>
          <w:color w:val="000000" w:themeColor="text1"/>
        </w:rPr>
        <w:t xml:space="preserve"> each of the </w:t>
      </w:r>
      <w:r w:rsidRPr="00AE523A">
        <w:rPr>
          <w:i/>
          <w:iCs/>
          <w:color w:val="000000" w:themeColor="text1"/>
        </w:rPr>
        <w:t>Zmpsy1</w:t>
      </w:r>
      <w:r w:rsidRPr="00AE523A">
        <w:rPr>
          <w:iCs/>
          <w:color w:val="000000" w:themeColor="text1"/>
        </w:rPr>
        <w:t xml:space="preserve">, </w:t>
      </w:r>
      <w:r w:rsidRPr="00AE523A">
        <w:rPr>
          <w:i/>
          <w:iCs/>
          <w:color w:val="000000" w:themeColor="text1"/>
        </w:rPr>
        <w:t>SSU-crtI</w:t>
      </w:r>
      <w:r w:rsidRPr="00AE523A">
        <w:rPr>
          <w:iCs/>
          <w:color w:val="000000" w:themeColor="text1"/>
        </w:rPr>
        <w:t xml:space="preserve"> and </w:t>
      </w:r>
      <w:r w:rsidRPr="00AE523A">
        <w:rPr>
          <w:i/>
          <w:iCs/>
          <w:color w:val="000000" w:themeColor="text1"/>
        </w:rPr>
        <w:t>pmi</w:t>
      </w:r>
      <w:r w:rsidRPr="00AE523A">
        <w:rPr>
          <w:iCs/>
          <w:color w:val="000000" w:themeColor="text1"/>
        </w:rPr>
        <w:t xml:space="preserve"> genes. </w:t>
      </w:r>
      <w:r>
        <w:rPr>
          <w:rFonts w:cs="Arial"/>
          <w:iCs/>
          <w:color w:val="000000" w:themeColor="text1"/>
          <w:szCs w:val="22"/>
        </w:rPr>
        <w:t>Since the restriction enzyme sites are located at the two ends of the T-</w:t>
      </w:r>
      <w:r w:rsidRPr="00955EC4">
        <w:rPr>
          <w:rFonts w:cs="Arial"/>
          <w:iCs/>
          <w:color w:val="000000" w:themeColor="text1"/>
          <w:szCs w:val="22"/>
        </w:rPr>
        <w:t>DNA (Figure 3), an</w:t>
      </w:r>
      <w:r>
        <w:rPr>
          <w:rFonts w:cs="Arial"/>
          <w:iCs/>
          <w:color w:val="000000" w:themeColor="text1"/>
          <w:szCs w:val="22"/>
        </w:rPr>
        <w:t xml:space="preserve"> intact copy of the T-DNA would result in a single hybridisation fragment with all three probes. The expected size single fragment was obtained for DNA from all four backgrounds containing event GR2E, thereby confirming the presence of an intact T-DNA insert.</w:t>
      </w:r>
    </w:p>
    <w:p w14:paraId="2064399D" w14:textId="77777777" w:rsidR="00333AC0" w:rsidRPr="00310947" w:rsidRDefault="00333AC0" w:rsidP="00011A05">
      <w:pPr>
        <w:tabs>
          <w:tab w:val="left" w:pos="851"/>
        </w:tabs>
        <w:autoSpaceDE w:val="0"/>
        <w:autoSpaceDN w:val="0"/>
        <w:adjustRightInd w:val="0"/>
        <w:spacing w:before="120" w:after="120"/>
        <w:rPr>
          <w:rFonts w:cs="Arial"/>
          <w:b/>
          <w:i/>
          <w:iCs/>
          <w:color w:val="000000" w:themeColor="text1"/>
          <w:szCs w:val="22"/>
        </w:rPr>
      </w:pPr>
      <w:r w:rsidRPr="00310947">
        <w:rPr>
          <w:rFonts w:cs="Arial"/>
          <w:b/>
          <w:i/>
          <w:iCs/>
          <w:color w:val="000000" w:themeColor="text1"/>
          <w:szCs w:val="22"/>
        </w:rPr>
        <w:t xml:space="preserve">3.4.1.3 </w:t>
      </w:r>
      <w:r w:rsidRPr="00310947">
        <w:rPr>
          <w:rFonts w:cs="Arial"/>
          <w:b/>
          <w:i/>
          <w:iCs/>
          <w:color w:val="000000" w:themeColor="text1"/>
          <w:szCs w:val="22"/>
        </w:rPr>
        <w:tab/>
        <w:t>Plasmid backbone</w:t>
      </w:r>
    </w:p>
    <w:p w14:paraId="2064399E" w14:textId="77777777" w:rsidR="00333AC0" w:rsidRPr="00310947" w:rsidRDefault="00333AC0" w:rsidP="00011A05">
      <w:pPr>
        <w:rPr>
          <w:color w:val="000000" w:themeColor="text1"/>
        </w:rPr>
      </w:pPr>
      <w:r w:rsidRPr="00310947">
        <w:rPr>
          <w:iCs/>
          <w:color w:val="000000" w:themeColor="text1"/>
        </w:rPr>
        <w:t xml:space="preserve">Again, </w:t>
      </w:r>
      <w:r w:rsidRPr="00310947">
        <w:rPr>
          <w:rFonts w:cs="Arial"/>
          <w:iCs/>
          <w:color w:val="000000" w:themeColor="text1"/>
          <w:szCs w:val="22"/>
        </w:rPr>
        <w:t xml:space="preserve">the DNA was digested with a combination of the two restriction enzymes </w:t>
      </w:r>
      <w:r w:rsidRPr="00310947">
        <w:rPr>
          <w:rFonts w:cs="Arial"/>
          <w:i/>
          <w:iCs/>
          <w:color w:val="000000" w:themeColor="text1"/>
          <w:szCs w:val="22"/>
        </w:rPr>
        <w:t>AscI</w:t>
      </w:r>
      <w:r w:rsidRPr="00310947">
        <w:rPr>
          <w:rFonts w:cs="Arial"/>
          <w:iCs/>
          <w:color w:val="000000" w:themeColor="text1"/>
          <w:szCs w:val="22"/>
        </w:rPr>
        <w:t xml:space="preserve"> plus </w:t>
      </w:r>
      <w:r w:rsidRPr="00310947">
        <w:rPr>
          <w:rFonts w:cs="Arial"/>
          <w:i/>
          <w:iCs/>
          <w:color w:val="000000" w:themeColor="text1"/>
          <w:szCs w:val="22"/>
        </w:rPr>
        <w:t>XmaI</w:t>
      </w:r>
      <w:r w:rsidRPr="00310947">
        <w:rPr>
          <w:rFonts w:cs="Arial"/>
          <w:iCs/>
          <w:color w:val="000000" w:themeColor="text1"/>
          <w:szCs w:val="22"/>
        </w:rPr>
        <w:t xml:space="preserve"> but was probed with five</w:t>
      </w:r>
      <w:r w:rsidRPr="00310947">
        <w:rPr>
          <w:iCs/>
          <w:color w:val="000000" w:themeColor="text1"/>
        </w:rPr>
        <w:t xml:space="preserve"> probes which together covered the entire plasmid backbone region. Only the Kaybonnet positive control spiked with pSYN1242 showed a hybridisation fragment. No hybridisation fragments were detected in any other samples. This indicated that no backbone sequences are present in event GR2E.</w:t>
      </w:r>
    </w:p>
    <w:p w14:paraId="2064399F" w14:textId="77777777" w:rsidR="00333AC0" w:rsidRDefault="00333AC0" w:rsidP="00011A05">
      <w:pPr>
        <w:pStyle w:val="Heading3"/>
      </w:pPr>
      <w:r w:rsidRPr="00310947">
        <w:t>3.4.2</w:t>
      </w:r>
      <w:r w:rsidRPr="00310947">
        <w:tab/>
      </w:r>
      <w:r>
        <w:t>Insert organisation and sequence</w:t>
      </w:r>
    </w:p>
    <w:p w14:paraId="206439A0"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Genomic DNA was extracted from leaf tissue obtained from a single GR2E rice progeny plant </w:t>
      </w:r>
      <w:r w:rsidRPr="004C6F55">
        <w:rPr>
          <w:rFonts w:ascii="CharterBT-Roman" w:hAnsi="CharterBT-Roman" w:cs="CharterBT-Roman"/>
          <w:szCs w:val="22"/>
          <w:lang w:eastAsia="en-GB" w:bidi="ar-SA"/>
        </w:rPr>
        <w:t>(generation T</w:t>
      </w:r>
      <w:r w:rsidRPr="004C6F55">
        <w:rPr>
          <w:rFonts w:ascii="CharterBT-Roman" w:hAnsi="CharterBT-Roman" w:cs="CharterBT-Roman"/>
          <w:szCs w:val="22"/>
          <w:vertAlign w:val="subscript"/>
          <w:lang w:eastAsia="en-GB" w:bidi="ar-SA"/>
        </w:rPr>
        <w:t>n</w:t>
      </w:r>
      <w:r w:rsidRPr="004C6F55">
        <w:rPr>
          <w:rFonts w:ascii="CharterBT-Roman" w:hAnsi="CharterBT-Roman" w:cs="CharterBT-Roman"/>
          <w:szCs w:val="22"/>
          <w:lang w:eastAsia="en-GB" w:bidi="ar-SA"/>
        </w:rPr>
        <w:t>)</w:t>
      </w:r>
      <w:r>
        <w:rPr>
          <w:rFonts w:ascii="CharterBT-Roman" w:hAnsi="CharterBT-Roman" w:cs="CharterBT-Roman"/>
          <w:szCs w:val="22"/>
          <w:lang w:eastAsia="en-GB" w:bidi="ar-SA"/>
        </w:rPr>
        <w:t xml:space="preserve"> derived from the original transformation event in Kaybonnet germplasm. The nucleotide sequence of pSYN12424 T-DNA, together with preliminary sequence information from the 5’ and 3’ flanking genomic DNA, was used to design seven sets of oligonucleotide primers that were used to amplify the insert and flanking regions as seven individual overlapping fragments. These fragments were then cloned into a vector and transformed into an </w:t>
      </w:r>
      <w:r w:rsidRPr="00310947">
        <w:rPr>
          <w:rFonts w:ascii="CharterBT-Roman" w:hAnsi="CharterBT-Roman" w:cs="CharterBT-Roman"/>
          <w:i/>
          <w:szCs w:val="22"/>
          <w:lang w:eastAsia="en-GB" w:bidi="ar-SA"/>
        </w:rPr>
        <w:t>E. coli</w:t>
      </w:r>
      <w:r>
        <w:rPr>
          <w:rFonts w:ascii="CharterBT-Roman" w:hAnsi="CharterBT-Roman" w:cs="CharterBT-Roman"/>
          <w:szCs w:val="22"/>
          <w:lang w:eastAsia="en-GB" w:bidi="ar-SA"/>
        </w:rPr>
        <w:t xml:space="preserve"> strain. Three colonies from the bacterium were randomly selected, and the plasmid DNA isolated before dye-terminator nucleotide sequencing (ABI Big Dye® 3.1 terminator chemistry). The sequences from each clone were aligned (AlignX™) to obtain the final consensus sequence for each amplification fragment.</w:t>
      </w:r>
    </w:p>
    <w:p w14:paraId="206439A1"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9A2" w14:textId="77777777" w:rsidR="00333AC0" w:rsidRPr="008C77FD"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In total, 12,772 bp of GR2E sequence were confirmed, comprising 1,988 bp of 5’ flanking region, 1,788 bp of 3’ flanking region and 8,996 bp of inserted T-DNA. The inserted T-DNA was found to have a 23 bp deletion at the RB, and an 11 bp deletion at the LB. </w:t>
      </w:r>
      <w:r w:rsidRPr="001E1D0B">
        <w:rPr>
          <w:color w:val="000000" w:themeColor="text1"/>
        </w:rPr>
        <w:t xml:space="preserve">This truncation of the border sequences is not uncommon for </w:t>
      </w:r>
      <w:r w:rsidRPr="001E1D0B">
        <w:rPr>
          <w:i/>
          <w:color w:val="000000" w:themeColor="text1"/>
        </w:rPr>
        <w:t>Agrobacterium</w:t>
      </w:r>
      <w:r w:rsidRPr="001E1D0B">
        <w:rPr>
          <w:color w:val="000000" w:themeColor="text1"/>
        </w:rPr>
        <w:t xml:space="preserve">-mediated transformation events </w:t>
      </w:r>
      <w:r w:rsidRPr="001E1D0B">
        <w:rPr>
          <w:noProof/>
          <w:color w:val="000000" w:themeColor="text1"/>
        </w:rPr>
        <w:t>(Tzfira et al. 2004; Kim et al. 2007)</w:t>
      </w:r>
      <w:r w:rsidRPr="001E1D0B">
        <w:rPr>
          <w:color w:val="000000" w:themeColor="text1"/>
        </w:rPr>
        <w:t>.</w:t>
      </w:r>
      <w:r>
        <w:rPr>
          <w:color w:val="000000" w:themeColor="text1"/>
        </w:rPr>
        <w:t xml:space="preserve"> </w:t>
      </w:r>
      <w:r>
        <w:rPr>
          <w:rFonts w:ascii="CharterBT-Roman" w:hAnsi="CharterBT-Roman" w:cs="CharterBT-Roman"/>
          <w:szCs w:val="22"/>
          <w:lang w:eastAsia="en-GB" w:bidi="ar-SA"/>
        </w:rPr>
        <w:t>All remaining sequence was intact and identical to that of the T-DNA region of plasmid pSYN12424.</w:t>
      </w:r>
    </w:p>
    <w:p w14:paraId="206439A3" w14:textId="77777777" w:rsidR="00333AC0" w:rsidRDefault="00333AC0" w:rsidP="00011A05">
      <w:pPr>
        <w:pStyle w:val="Heading3"/>
      </w:pPr>
      <w:r>
        <w:t>3</w:t>
      </w:r>
      <w:r w:rsidRPr="007C15D6">
        <w:t>.4.3</w:t>
      </w:r>
      <w:r w:rsidRPr="007C15D6">
        <w:tab/>
        <w:t>Insertion site</w:t>
      </w:r>
    </w:p>
    <w:p w14:paraId="206439A4" w14:textId="77777777" w:rsidR="00333AC0" w:rsidRPr="00B92C60" w:rsidRDefault="00333AC0" w:rsidP="00011A05">
      <w:pPr>
        <w:widowControl/>
        <w:autoSpaceDE w:val="0"/>
        <w:autoSpaceDN w:val="0"/>
        <w:adjustRightInd w:val="0"/>
        <w:rPr>
          <w:rFonts w:cs="Arial"/>
          <w:szCs w:val="22"/>
          <w:lang w:eastAsia="en-GB" w:bidi="ar-SA"/>
        </w:rPr>
      </w:pPr>
      <w:r w:rsidRPr="00B92C60">
        <w:rPr>
          <w:rFonts w:cs="Arial"/>
          <w:szCs w:val="22"/>
          <w:lang w:eastAsia="en-GB" w:bidi="ar-SA"/>
        </w:rPr>
        <w:t xml:space="preserve">Basic local alignment search tool </w:t>
      </w:r>
      <w:r w:rsidRPr="003C3A66">
        <w:rPr>
          <w:rFonts w:cs="Arial"/>
          <w:szCs w:val="22"/>
          <w:lang w:eastAsia="en-GB" w:bidi="ar-SA"/>
        </w:rPr>
        <w:t>(BLAST) searches</w:t>
      </w:r>
      <w:r w:rsidRPr="00B92C60">
        <w:rPr>
          <w:rFonts w:cs="Arial"/>
          <w:szCs w:val="22"/>
          <w:lang w:eastAsia="en-GB" w:bidi="ar-SA"/>
        </w:rPr>
        <w:t xml:space="preserve"> using the 5’ and 3’ flanking region</w:t>
      </w:r>
    </w:p>
    <w:p w14:paraId="206439A5" w14:textId="77777777" w:rsidR="00333AC0" w:rsidRPr="00B92C60" w:rsidRDefault="00333AC0" w:rsidP="00011A05">
      <w:pPr>
        <w:widowControl/>
        <w:autoSpaceDE w:val="0"/>
        <w:autoSpaceDN w:val="0"/>
        <w:adjustRightInd w:val="0"/>
        <w:rPr>
          <w:rFonts w:cs="Arial"/>
          <w:szCs w:val="22"/>
          <w:lang w:eastAsia="en-GB" w:bidi="ar-SA"/>
        </w:rPr>
      </w:pPr>
      <w:r w:rsidRPr="00B92C60">
        <w:rPr>
          <w:rFonts w:cs="Arial"/>
          <w:szCs w:val="22"/>
          <w:lang w:eastAsia="en-GB" w:bidi="ar-SA"/>
        </w:rPr>
        <w:t xml:space="preserve">sequences as queries against the </w:t>
      </w:r>
      <w:r w:rsidRPr="00B92C60">
        <w:rPr>
          <w:rFonts w:cs="Arial"/>
          <w:i/>
          <w:iCs/>
          <w:szCs w:val="22"/>
          <w:lang w:eastAsia="en-GB" w:bidi="ar-SA"/>
        </w:rPr>
        <w:t xml:space="preserve">O. sativa </w:t>
      </w:r>
      <w:r w:rsidRPr="00B92C60">
        <w:rPr>
          <w:rFonts w:cs="Arial"/>
          <w:szCs w:val="22"/>
          <w:lang w:eastAsia="en-GB" w:bidi="ar-SA"/>
        </w:rPr>
        <w:t>(japonica cultivar-group, Nipponbare) genome</w:t>
      </w:r>
    </w:p>
    <w:p w14:paraId="206439A6" w14:textId="77777777" w:rsidR="00333AC0" w:rsidRPr="00B92C60" w:rsidRDefault="00333AC0" w:rsidP="00011A05">
      <w:pPr>
        <w:widowControl/>
        <w:autoSpaceDE w:val="0"/>
        <w:autoSpaceDN w:val="0"/>
        <w:adjustRightInd w:val="0"/>
        <w:rPr>
          <w:rFonts w:cs="Arial"/>
          <w:szCs w:val="22"/>
          <w:lang w:eastAsia="en-GB" w:bidi="ar-SA"/>
        </w:rPr>
      </w:pPr>
      <w:r w:rsidRPr="00B92C60">
        <w:rPr>
          <w:rFonts w:cs="Arial"/>
          <w:szCs w:val="22"/>
          <w:lang w:eastAsia="en-GB" w:bidi="ar-SA"/>
        </w:rPr>
        <w:t>(</w:t>
      </w:r>
      <w:hyperlink r:id="rId27" w:history="1">
        <w:r w:rsidRPr="00B92C60">
          <w:rPr>
            <w:rStyle w:val="Hyperlink"/>
            <w:rFonts w:cs="Arial"/>
            <w:szCs w:val="22"/>
            <w:lang w:eastAsia="en-GB" w:bidi="ar-SA"/>
          </w:rPr>
          <w:t>MSU Rice Genome Annotation Project Release 7</w:t>
        </w:r>
      </w:hyperlink>
      <w:r w:rsidRPr="00B92C60">
        <w:rPr>
          <w:rFonts w:cs="Arial"/>
          <w:szCs w:val="22"/>
          <w:lang w:eastAsia="en-GB" w:bidi="ar-SA"/>
        </w:rPr>
        <w:t>)</w:t>
      </w:r>
      <w:r w:rsidRPr="00B92C60">
        <w:rPr>
          <w:rStyle w:val="FootnoteReference"/>
          <w:rFonts w:cs="Arial"/>
          <w:szCs w:val="22"/>
          <w:lang w:eastAsia="en-GB" w:bidi="ar-SA"/>
        </w:rPr>
        <w:footnoteReference w:id="6"/>
      </w:r>
      <w:r w:rsidRPr="00B92C60">
        <w:rPr>
          <w:rFonts w:cs="Arial"/>
          <w:szCs w:val="22"/>
          <w:lang w:eastAsia="en-GB" w:bidi="ar-SA"/>
        </w:rPr>
        <w:t xml:space="preserve"> identified that the site of insertion</w:t>
      </w:r>
    </w:p>
    <w:p w14:paraId="206439A7" w14:textId="77777777" w:rsidR="00333AC0" w:rsidRPr="00B92C60" w:rsidRDefault="00333AC0" w:rsidP="00011A05">
      <w:pPr>
        <w:widowControl/>
        <w:autoSpaceDE w:val="0"/>
        <w:autoSpaceDN w:val="0"/>
        <w:adjustRightInd w:val="0"/>
        <w:rPr>
          <w:rFonts w:cs="Arial"/>
          <w:szCs w:val="22"/>
          <w:lang w:eastAsia="en-GB" w:bidi="ar-SA"/>
        </w:rPr>
      </w:pPr>
      <w:r w:rsidRPr="00B92C60">
        <w:rPr>
          <w:rFonts w:cs="Arial"/>
          <w:szCs w:val="22"/>
          <w:lang w:eastAsia="en-GB" w:bidi="ar-SA"/>
        </w:rPr>
        <w:t>of the T-DNA was located on chromosome 3 within the intergenic region between</w:t>
      </w:r>
    </w:p>
    <w:p w14:paraId="206439A8" w14:textId="77777777" w:rsidR="00333AC0" w:rsidRPr="00B92C60" w:rsidRDefault="00333AC0" w:rsidP="00011A05">
      <w:pPr>
        <w:widowControl/>
        <w:autoSpaceDE w:val="0"/>
        <w:autoSpaceDN w:val="0"/>
        <w:adjustRightInd w:val="0"/>
        <w:rPr>
          <w:rFonts w:cs="Arial"/>
          <w:szCs w:val="22"/>
          <w:lang w:eastAsia="en-GB" w:bidi="ar-SA"/>
        </w:rPr>
      </w:pPr>
      <w:r w:rsidRPr="00B92C60">
        <w:rPr>
          <w:rFonts w:cs="Arial"/>
          <w:szCs w:val="22"/>
          <w:lang w:eastAsia="en-GB" w:bidi="ar-SA"/>
        </w:rPr>
        <w:t>LOC_Os03g43980 (3’ proximal) and LOC_Os03g43990 (5’ proximal</w:t>
      </w:r>
      <w:r w:rsidRPr="00B275D4">
        <w:rPr>
          <w:rFonts w:cs="Arial"/>
          <w:szCs w:val="22"/>
          <w:lang w:eastAsia="en-GB" w:bidi="ar-SA"/>
        </w:rPr>
        <w:t>) (Figure 5).</w:t>
      </w:r>
      <w:r w:rsidRPr="00B92C60">
        <w:rPr>
          <w:rFonts w:cs="Arial"/>
          <w:szCs w:val="22"/>
          <w:lang w:eastAsia="en-GB" w:bidi="ar-SA"/>
        </w:rPr>
        <w:t xml:space="preserve"> The locations of the LB and RB flanking sequences correspond to positions 24,698,762–24,700,549 and 24,700,565–24,702,552 of the host genome, respectively. The insertion of the pSYN12424 T-DNA resulted in the deletion of 15 bp of host genomic DNA</w:t>
      </w:r>
      <w:r>
        <w:rPr>
          <w:rFonts w:cs="Arial"/>
          <w:szCs w:val="22"/>
          <w:lang w:eastAsia="en-GB" w:bidi="ar-SA"/>
        </w:rPr>
        <w:t>.</w:t>
      </w:r>
    </w:p>
    <w:p w14:paraId="206439A9" w14:textId="77777777" w:rsidR="00333AC0" w:rsidRPr="00B92C60" w:rsidRDefault="00333AC0" w:rsidP="00011A05">
      <w:pPr>
        <w:rPr>
          <w:rFonts w:cs="Arial"/>
          <w:szCs w:val="22"/>
          <w:lang w:eastAsia="en-GB" w:bidi="ar-SA"/>
        </w:rPr>
      </w:pPr>
    </w:p>
    <w:p w14:paraId="206439AA" w14:textId="77777777" w:rsidR="00333AC0" w:rsidRDefault="00333AC0" w:rsidP="00011A05">
      <w:pPr>
        <w:keepNext/>
      </w:pPr>
      <w:r>
        <w:rPr>
          <w:noProof/>
          <w:lang w:eastAsia="en-GB" w:bidi="ar-SA"/>
        </w:rPr>
        <w:drawing>
          <wp:inline distT="0" distB="0" distL="0" distR="0" wp14:anchorId="20643F20" wp14:editId="0AFFE333">
            <wp:extent cx="5762625" cy="3114675"/>
            <wp:effectExtent l="0" t="0" r="9525" b="9525"/>
            <wp:docPr id="12" name="Picture 12" title="Figure 5: Representation of the map position of the T-DNA insert in the Kaybonnet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206439AB" w14:textId="77777777" w:rsidR="00333AC0" w:rsidRDefault="00333AC0" w:rsidP="00011A05">
      <w:pPr>
        <w:pStyle w:val="FSFigureTitle"/>
      </w:pPr>
      <w:bookmarkStart w:id="27" w:name="_Toc470008743"/>
      <w:r>
        <w:t xml:space="preserve">Figure </w:t>
      </w:r>
      <w:r>
        <w:fldChar w:fldCharType="begin"/>
      </w:r>
      <w:r>
        <w:instrText xml:space="preserve"> SEQ Figure \* ARABIC </w:instrText>
      </w:r>
      <w:r>
        <w:fldChar w:fldCharType="separate"/>
      </w:r>
      <w:r w:rsidR="00286242">
        <w:rPr>
          <w:noProof/>
        </w:rPr>
        <w:t>5</w:t>
      </w:r>
      <w:r>
        <w:rPr>
          <w:noProof/>
        </w:rPr>
        <w:fldChar w:fldCharType="end"/>
      </w:r>
      <w:r>
        <w:t>: Representation of the map position of the T-DNA insert in the Kaybonnet genome</w:t>
      </w:r>
      <w:bookmarkEnd w:id="27"/>
    </w:p>
    <w:p w14:paraId="206439AC" w14:textId="77777777" w:rsidR="00333AC0" w:rsidRPr="00310947" w:rsidRDefault="00333AC0" w:rsidP="00011A05">
      <w:pPr>
        <w:pStyle w:val="Heading3"/>
      </w:pPr>
      <w:r>
        <w:t>3.4.4</w:t>
      </w:r>
      <w:r>
        <w:tab/>
      </w:r>
      <w:r w:rsidRPr="00310947">
        <w:t xml:space="preserve">Open reading frame </w:t>
      </w:r>
      <w:r w:rsidRPr="003C3A66">
        <w:t>(ORF)</w:t>
      </w:r>
      <w:r w:rsidRPr="00310947">
        <w:t xml:space="preserve"> analysis</w:t>
      </w:r>
    </w:p>
    <w:p w14:paraId="206439AD" w14:textId="77777777" w:rsidR="00333AC0" w:rsidRPr="00B275D4" w:rsidRDefault="00333AC0" w:rsidP="00011A05">
      <w:pPr>
        <w:widowControl/>
        <w:autoSpaceDE w:val="0"/>
        <w:autoSpaceDN w:val="0"/>
        <w:adjustRightInd w:val="0"/>
        <w:rPr>
          <w:rFonts w:ascii="CharterBT-Roman" w:hAnsi="CharterBT-Roman" w:cs="CharterBT-Roman"/>
          <w:color w:val="000000" w:themeColor="text1"/>
          <w:szCs w:val="22"/>
          <w:lang w:eastAsia="en-GB" w:bidi="ar-SA"/>
        </w:rPr>
      </w:pPr>
      <w:r w:rsidRPr="001C4EEC">
        <w:rPr>
          <w:rFonts w:cs="Arial"/>
          <w:color w:val="000000" w:themeColor="text1"/>
          <w:szCs w:val="22"/>
        </w:rPr>
        <w:t xml:space="preserve">Sequences spanning the </w:t>
      </w:r>
      <w:r>
        <w:rPr>
          <w:rFonts w:cs="Arial"/>
          <w:color w:val="000000" w:themeColor="text1"/>
          <w:szCs w:val="22"/>
        </w:rPr>
        <w:t>5′</w:t>
      </w:r>
      <w:r w:rsidRPr="001C4EEC">
        <w:rPr>
          <w:rFonts w:cs="Arial"/>
          <w:color w:val="000000" w:themeColor="text1"/>
          <w:szCs w:val="22"/>
        </w:rPr>
        <w:t xml:space="preserve"> and </w:t>
      </w:r>
      <w:r>
        <w:rPr>
          <w:rFonts w:cs="Arial"/>
          <w:color w:val="000000" w:themeColor="text1"/>
          <w:szCs w:val="22"/>
        </w:rPr>
        <w:t>3′</w:t>
      </w:r>
      <w:r w:rsidRPr="001C4EEC">
        <w:rPr>
          <w:rFonts w:cs="Arial"/>
          <w:color w:val="000000" w:themeColor="text1"/>
          <w:szCs w:val="22"/>
        </w:rPr>
        <w:t xml:space="preserve"> ju</w:t>
      </w:r>
      <w:r>
        <w:rPr>
          <w:rFonts w:cs="Arial"/>
          <w:color w:val="000000" w:themeColor="text1"/>
          <w:szCs w:val="22"/>
        </w:rPr>
        <w:t>nctions of the insert in GR2E</w:t>
      </w:r>
      <w:r w:rsidRPr="001C4EEC">
        <w:rPr>
          <w:rFonts w:cs="Arial"/>
          <w:color w:val="000000" w:themeColor="text1"/>
          <w:szCs w:val="22"/>
        </w:rPr>
        <w:t xml:space="preserve"> were translated from start codon to stop codon (TGA, TAG,</w:t>
      </w:r>
      <w:r>
        <w:rPr>
          <w:rFonts w:cs="Arial"/>
          <w:color w:val="000000" w:themeColor="text1"/>
          <w:szCs w:val="22"/>
        </w:rPr>
        <w:t xml:space="preserve"> TAA) in all six reading frames. Only those</w:t>
      </w:r>
      <w:r w:rsidRPr="001C4EEC">
        <w:rPr>
          <w:rFonts w:cs="Arial"/>
          <w:color w:val="000000" w:themeColor="text1"/>
          <w:szCs w:val="22"/>
        </w:rPr>
        <w:t xml:space="preserve"> encoding sequences of 30 or more amino acids</w:t>
      </w:r>
      <w:r>
        <w:rPr>
          <w:rFonts w:cs="Arial"/>
          <w:color w:val="000000" w:themeColor="text1"/>
          <w:szCs w:val="22"/>
        </w:rPr>
        <w:t xml:space="preserve"> were considered;</w:t>
      </w:r>
      <w:r w:rsidRPr="001C4EEC">
        <w:rPr>
          <w:rFonts w:cs="Arial"/>
          <w:color w:val="000000" w:themeColor="text1"/>
          <w:szCs w:val="22"/>
        </w:rPr>
        <w:t xml:space="preserve"> ORFs shorter than 29 amino acids were not evaluated since a minimum 35% identity requires at least a match of 29 amino acids over 80 amino acids. The 35% identity is a recommended criterion for indicating potential allergenicity </w:t>
      </w:r>
      <w:r w:rsidRPr="001C4EEC">
        <w:rPr>
          <w:rFonts w:cs="Arial"/>
          <w:noProof/>
          <w:color w:val="000000" w:themeColor="text1"/>
          <w:szCs w:val="22"/>
        </w:rPr>
        <w:t>(Codex 2009)</w:t>
      </w:r>
      <w:r w:rsidRPr="001C4EEC">
        <w:rPr>
          <w:rFonts w:cs="Arial"/>
          <w:color w:val="000000" w:themeColor="text1"/>
          <w:szCs w:val="22"/>
        </w:rPr>
        <w:t xml:space="preserve">. </w:t>
      </w:r>
      <w:r>
        <w:rPr>
          <w:rFonts w:ascii="CharterBT-Roman" w:hAnsi="CharterBT-Roman" w:cs="CharterBT-Roman"/>
          <w:szCs w:val="22"/>
          <w:lang w:eastAsia="en-GB" w:bidi="ar-SA"/>
        </w:rPr>
        <w:t xml:space="preserve">Two ORFs were identified, one in the reverse orientation that spanned the 5’ T-DNA insert–genomic DNA border (207 bp; 68 amino acids), and one in the </w:t>
      </w:r>
      <w:r w:rsidRPr="008D79B9">
        <w:rPr>
          <w:rFonts w:ascii="CharterBT-Roman" w:hAnsi="CharterBT-Roman" w:cs="CharterBT-Roman"/>
          <w:color w:val="000000" w:themeColor="text1"/>
          <w:szCs w:val="22"/>
          <w:lang w:eastAsia="en-GB" w:bidi="ar-SA"/>
        </w:rPr>
        <w:t>forward orientation that spanned the 3’ T-DNA insert–genomic DNA border (240 bp; 79 amino acids).</w:t>
      </w:r>
      <w:r w:rsidRPr="008D79B9">
        <w:rPr>
          <w:rFonts w:cs="Arial"/>
          <w:color w:val="000000" w:themeColor="text1"/>
          <w:szCs w:val="22"/>
        </w:rPr>
        <w:t xml:space="preserve">These putative polypeptides were analysed using </w:t>
      </w:r>
      <w:r w:rsidRPr="00B275D4">
        <w:rPr>
          <w:rFonts w:cs="Arial"/>
          <w:color w:val="000000" w:themeColor="text1"/>
          <w:szCs w:val="22"/>
        </w:rPr>
        <w:t>a bioinformatics strategy to determine similarity to known protein toxins or allergens (refer to Section 4.1.6)</w:t>
      </w:r>
    </w:p>
    <w:p w14:paraId="206439AE" w14:textId="77777777" w:rsidR="00333AC0" w:rsidRPr="008D79B9" w:rsidRDefault="00333AC0" w:rsidP="00011A05">
      <w:pPr>
        <w:pStyle w:val="Heading2"/>
        <w:rPr>
          <w:color w:val="000000" w:themeColor="text1"/>
        </w:rPr>
      </w:pPr>
      <w:bookmarkStart w:id="28" w:name="_Toc428288537"/>
      <w:bookmarkStart w:id="29" w:name="_Toc470008719"/>
      <w:r w:rsidRPr="00B275D4">
        <w:rPr>
          <w:color w:val="000000" w:themeColor="text1"/>
        </w:rPr>
        <w:t>3.5</w:t>
      </w:r>
      <w:r w:rsidRPr="00B275D4">
        <w:rPr>
          <w:color w:val="000000" w:themeColor="text1"/>
        </w:rPr>
        <w:tab/>
        <w:t xml:space="preserve">Stability of the genetic change in </w:t>
      </w:r>
      <w:bookmarkEnd w:id="28"/>
      <w:r w:rsidRPr="00B275D4">
        <w:rPr>
          <w:color w:val="000000" w:themeColor="text1"/>
        </w:rPr>
        <w:t>GR2E</w:t>
      </w:r>
      <w:bookmarkEnd w:id="29"/>
    </w:p>
    <w:p w14:paraId="206439AF" w14:textId="77777777" w:rsidR="00333AC0" w:rsidRPr="008D79B9" w:rsidRDefault="00333AC0" w:rsidP="00011A05">
      <w:pPr>
        <w:pStyle w:val="BodyText"/>
        <w:rPr>
          <w:rFonts w:cs="Arial"/>
          <w:bCs/>
          <w:color w:val="000000" w:themeColor="text1"/>
          <w:szCs w:val="22"/>
        </w:rPr>
      </w:pPr>
      <w:bookmarkStart w:id="30" w:name="_Toc428288538"/>
      <w:r w:rsidRPr="008D79B9">
        <w:rPr>
          <w:rFonts w:cs="Arial"/>
          <w:bCs/>
          <w:color w:val="000000" w:themeColor="text1"/>
          <w:szCs w:val="22"/>
        </w:rPr>
        <w:t>The concept of stability encompasses both the genetic and phenotypic stability of the introduced trait over a number of generations. Genetic stability refers to maintenance of the modification (as produced in the initial transformation event) over successive generations. It is best assessed by molecular techniques, such as Southern blot analysis. Phenotypic stability refers to the expressed trait remaining unchanged over successive generations. It is often quantified by a trait inheritance analysis to determine Mendelian heritability via assay techniques (chemical, molecular, visual).</w:t>
      </w:r>
    </w:p>
    <w:p w14:paraId="206439B0" w14:textId="77777777" w:rsidR="00333AC0" w:rsidRPr="008D79B9" w:rsidRDefault="00333AC0" w:rsidP="00011A05">
      <w:pPr>
        <w:pStyle w:val="Heading3"/>
        <w:rPr>
          <w:i/>
        </w:rPr>
      </w:pPr>
      <w:r w:rsidRPr="008D79B9">
        <w:t>3.5.1</w:t>
      </w:r>
      <w:r w:rsidRPr="008D79B9">
        <w:tab/>
        <w:t>Genetic stability</w:t>
      </w:r>
    </w:p>
    <w:p w14:paraId="206439B1" w14:textId="77777777" w:rsidR="00333AC0" w:rsidRPr="00D83A8F" w:rsidRDefault="00333AC0" w:rsidP="00011A05">
      <w:pPr>
        <w:widowControl/>
        <w:autoSpaceDE w:val="0"/>
        <w:autoSpaceDN w:val="0"/>
        <w:adjustRightInd w:val="0"/>
        <w:rPr>
          <w:rFonts w:ascii="CharterBT-Roman" w:hAnsi="CharterBT-Roman" w:cs="CharterBT-Roman"/>
          <w:color w:val="000000" w:themeColor="text1"/>
          <w:szCs w:val="22"/>
          <w:lang w:eastAsia="en-GB" w:bidi="ar-SA"/>
        </w:rPr>
      </w:pPr>
      <w:r w:rsidRPr="008D79B9">
        <w:rPr>
          <w:color w:val="000000" w:themeColor="text1"/>
        </w:rPr>
        <w:t>The genetic stability of event GR2E was evaluated by Southern blot analysis of genomic leaf DNA from verified plants from generations in the four background germplasms (</w:t>
      </w:r>
      <w:r w:rsidRPr="00B275D4">
        <w:rPr>
          <w:color w:val="000000" w:themeColor="text1"/>
        </w:rPr>
        <w:t xml:space="preserve">see Figure 3). A negative control of DNA from non-GM Kaybonnet and a positive control of Kaybonnet spiked with pSYN12424 were also included. </w:t>
      </w:r>
      <w:r w:rsidRPr="00B275D4">
        <w:rPr>
          <w:rFonts w:ascii="CharterBT-Roman" w:hAnsi="CharterBT-Roman" w:cs="CharterBT-Roman"/>
          <w:szCs w:val="22"/>
          <w:lang w:eastAsia="en-GB" w:bidi="ar-SA"/>
        </w:rPr>
        <w:t xml:space="preserve">Restriction enzyme digestions with </w:t>
      </w:r>
      <w:r w:rsidRPr="00B275D4">
        <w:rPr>
          <w:rFonts w:ascii="CharterBT-Italic" w:hAnsi="CharterBT-Italic" w:cs="CharterBT-Italic"/>
          <w:i/>
          <w:iCs/>
          <w:szCs w:val="22"/>
          <w:lang w:eastAsia="en-GB" w:bidi="ar-SA"/>
        </w:rPr>
        <w:t>Hin</w:t>
      </w:r>
      <w:r w:rsidRPr="00B275D4">
        <w:rPr>
          <w:rFonts w:ascii="CharterBT-Roman" w:hAnsi="CharterBT-Roman" w:cs="CharterBT-Roman"/>
          <w:szCs w:val="22"/>
          <w:lang w:eastAsia="en-GB" w:bidi="ar-SA"/>
        </w:rPr>
        <w:t xml:space="preserve">dIII, </w:t>
      </w:r>
      <w:r w:rsidRPr="00B275D4">
        <w:rPr>
          <w:rFonts w:ascii="CharterBT-Italic" w:hAnsi="CharterBT-Italic" w:cs="CharterBT-Italic"/>
          <w:i/>
          <w:iCs/>
          <w:szCs w:val="22"/>
          <w:lang w:eastAsia="en-GB" w:bidi="ar-SA"/>
        </w:rPr>
        <w:t>Sph</w:t>
      </w:r>
      <w:r w:rsidRPr="00B275D4">
        <w:rPr>
          <w:rFonts w:ascii="CharterBT-Roman" w:hAnsi="CharterBT-Roman" w:cs="CharterBT-Roman"/>
          <w:szCs w:val="22"/>
          <w:lang w:eastAsia="en-GB" w:bidi="ar-SA"/>
        </w:rPr>
        <w:t>I</w:t>
      </w:r>
      <w:r>
        <w:rPr>
          <w:rFonts w:ascii="CharterBT-Roman" w:hAnsi="CharterBT-Roman" w:cs="CharterBT-Roman"/>
          <w:szCs w:val="22"/>
          <w:lang w:eastAsia="en-GB" w:bidi="ar-SA"/>
        </w:rPr>
        <w:t xml:space="preserve">, and </w:t>
      </w:r>
      <w:r>
        <w:rPr>
          <w:rFonts w:ascii="CharterBT-Italic" w:hAnsi="CharterBT-Italic" w:cs="CharterBT-Italic"/>
          <w:i/>
          <w:iCs/>
          <w:szCs w:val="22"/>
          <w:lang w:eastAsia="en-GB" w:bidi="ar-SA"/>
        </w:rPr>
        <w:t>Asc</w:t>
      </w:r>
      <w:r>
        <w:rPr>
          <w:rFonts w:ascii="CharterBT-Roman" w:hAnsi="CharterBT-Roman" w:cs="CharterBT-Roman"/>
          <w:szCs w:val="22"/>
          <w:lang w:eastAsia="en-GB" w:bidi="ar-SA"/>
        </w:rPr>
        <w:t>I</w:t>
      </w:r>
      <w:r>
        <w:rPr>
          <w:rFonts w:ascii="CMR10" w:hAnsi="CMR10" w:cs="CMR10"/>
          <w:sz w:val="23"/>
          <w:szCs w:val="23"/>
          <w:lang w:eastAsia="en-GB" w:bidi="ar-SA"/>
        </w:rPr>
        <w:t>+</w:t>
      </w:r>
      <w:r>
        <w:rPr>
          <w:rFonts w:ascii="CharterBT-Italic" w:hAnsi="CharterBT-Italic" w:cs="CharterBT-Italic"/>
          <w:i/>
          <w:iCs/>
          <w:szCs w:val="22"/>
          <w:lang w:eastAsia="en-GB" w:bidi="ar-SA"/>
        </w:rPr>
        <w:t>Xma</w:t>
      </w:r>
      <w:r>
        <w:rPr>
          <w:rFonts w:ascii="CharterBT-Roman" w:hAnsi="CharterBT-Roman" w:cs="CharterBT-Roman"/>
          <w:szCs w:val="22"/>
          <w:lang w:eastAsia="en-GB" w:bidi="ar-SA"/>
        </w:rPr>
        <w:t xml:space="preserve">I were separated by agarose gel electrophoresis and blots were probed with DIG-labelled DNA probes specific for the </w:t>
      </w:r>
      <w:r>
        <w:rPr>
          <w:rFonts w:ascii="CharterBT-Italic" w:hAnsi="CharterBT-Italic" w:cs="CharterBT-Italic"/>
          <w:i/>
          <w:iCs/>
          <w:szCs w:val="22"/>
          <w:lang w:eastAsia="en-GB" w:bidi="ar-SA"/>
        </w:rPr>
        <w:t>Zmpsy1</w:t>
      </w:r>
      <w:r>
        <w:rPr>
          <w:rFonts w:ascii="CharterBT-Roman" w:hAnsi="CharterBT-Roman" w:cs="CharterBT-Roman"/>
          <w:szCs w:val="22"/>
          <w:lang w:eastAsia="en-GB" w:bidi="ar-SA"/>
        </w:rPr>
        <w:t xml:space="preserve">, </w:t>
      </w:r>
      <w:r>
        <w:rPr>
          <w:rFonts w:ascii="CharterBT-Italic" w:hAnsi="CharterBT-Italic" w:cs="CharterBT-Italic"/>
          <w:i/>
          <w:iCs/>
          <w:szCs w:val="22"/>
          <w:lang w:eastAsia="en-GB" w:bidi="ar-SA"/>
        </w:rPr>
        <w:t>pSSU-crtI</w:t>
      </w:r>
      <w:r>
        <w:rPr>
          <w:rFonts w:ascii="CharterBT-Roman" w:hAnsi="CharterBT-Roman" w:cs="CharterBT-Roman"/>
          <w:szCs w:val="22"/>
          <w:lang w:eastAsia="en-GB" w:bidi="ar-SA"/>
        </w:rPr>
        <w:t xml:space="preserve">, or </w:t>
      </w:r>
      <w:r>
        <w:rPr>
          <w:rFonts w:ascii="CharterBT-Italic" w:hAnsi="CharterBT-Italic" w:cs="CharterBT-Italic"/>
          <w:i/>
          <w:iCs/>
          <w:szCs w:val="22"/>
          <w:lang w:eastAsia="en-GB" w:bidi="ar-SA"/>
        </w:rPr>
        <w:t xml:space="preserve">pmi </w:t>
      </w:r>
      <w:r>
        <w:rPr>
          <w:rFonts w:ascii="CharterBT-Roman" w:hAnsi="CharterBT-Roman" w:cs="CharterBT-Roman"/>
          <w:szCs w:val="22"/>
          <w:lang w:eastAsia="en-GB" w:bidi="ar-SA"/>
        </w:rPr>
        <w:t xml:space="preserve">genes, respectively. The same single hybridising fragments were detected across all GR2E samples thereby confirming stable integration and inheritance of the inserted DNA in GR2E. No bands were obtained for the </w:t>
      </w:r>
      <w:r>
        <w:rPr>
          <w:rFonts w:ascii="CharterBT-Roman" w:hAnsi="CharterBT-Roman" w:cs="CharterBT-Roman"/>
          <w:color w:val="000000" w:themeColor="text1"/>
          <w:szCs w:val="22"/>
          <w:lang w:eastAsia="en-GB" w:bidi="ar-SA"/>
        </w:rPr>
        <w:t>negative control;</w:t>
      </w:r>
      <w:r w:rsidRPr="00D83A8F">
        <w:rPr>
          <w:rFonts w:ascii="CharterBT-Roman" w:hAnsi="CharterBT-Roman" w:cs="CharterBT-Roman"/>
          <w:color w:val="000000" w:themeColor="text1"/>
          <w:szCs w:val="22"/>
          <w:lang w:eastAsia="en-GB" w:bidi="ar-SA"/>
        </w:rPr>
        <w:t xml:space="preserve"> the expected band was obtained for the positive control.</w:t>
      </w:r>
    </w:p>
    <w:p w14:paraId="206439B2" w14:textId="77777777" w:rsidR="00333AC0" w:rsidRPr="00D83A8F" w:rsidRDefault="00333AC0" w:rsidP="00011A05">
      <w:pPr>
        <w:pStyle w:val="Heading3"/>
        <w:rPr>
          <w:i/>
        </w:rPr>
      </w:pPr>
      <w:r w:rsidRPr="00D83A8F">
        <w:t>3.5.2</w:t>
      </w:r>
      <w:r w:rsidRPr="00D83A8F">
        <w:tab/>
        <w:t>Phenotypic stability</w:t>
      </w:r>
    </w:p>
    <w:p w14:paraId="206439B3" w14:textId="77777777" w:rsidR="00333AC0" w:rsidRPr="00D83A8F" w:rsidRDefault="00333AC0" w:rsidP="00011A05">
      <w:pPr>
        <w:rPr>
          <w:color w:val="000000" w:themeColor="text1"/>
          <w:szCs w:val="22"/>
        </w:rPr>
      </w:pPr>
      <w:r w:rsidRPr="00D83A8F">
        <w:rPr>
          <w:color w:val="000000" w:themeColor="text1"/>
          <w:szCs w:val="22"/>
        </w:rPr>
        <w:t xml:space="preserve">Phenotypic stability was assessed through two separate approaches. </w:t>
      </w:r>
    </w:p>
    <w:p w14:paraId="206439B4" w14:textId="77777777" w:rsidR="00333AC0" w:rsidRPr="00D83A8F" w:rsidRDefault="00333AC0" w:rsidP="00011A05">
      <w:pPr>
        <w:rPr>
          <w:color w:val="000000" w:themeColor="text1"/>
          <w:szCs w:val="22"/>
        </w:rPr>
      </w:pPr>
    </w:p>
    <w:p w14:paraId="206439B5" w14:textId="77777777" w:rsidR="00333AC0" w:rsidRPr="00DF7316" w:rsidRDefault="00333AC0" w:rsidP="00011A05">
      <w:pPr>
        <w:pStyle w:val="FSCh6Subsec"/>
        <w:ind w:left="0"/>
        <w:rPr>
          <w:b w:val="0"/>
          <w:sz w:val="22"/>
          <w:szCs w:val="22"/>
        </w:rPr>
      </w:pPr>
      <w:r>
        <w:rPr>
          <w:sz w:val="22"/>
          <w:szCs w:val="22"/>
        </w:rPr>
        <w:t>3.5.2.1</w:t>
      </w:r>
      <w:r>
        <w:rPr>
          <w:sz w:val="22"/>
          <w:szCs w:val="22"/>
        </w:rPr>
        <w:tab/>
      </w:r>
      <w:r w:rsidRPr="00DF7316">
        <w:rPr>
          <w:sz w:val="22"/>
          <w:szCs w:val="22"/>
        </w:rPr>
        <w:t>Inheritance of elevated carotenoid levels</w:t>
      </w:r>
    </w:p>
    <w:p w14:paraId="206439B6" w14:textId="77777777" w:rsidR="00333AC0" w:rsidRDefault="00333AC0" w:rsidP="00011A05">
      <w:pPr>
        <w:rPr>
          <w:color w:val="000000" w:themeColor="text1"/>
          <w:szCs w:val="22"/>
        </w:rPr>
      </w:pPr>
    </w:p>
    <w:p w14:paraId="206439B7" w14:textId="77777777" w:rsidR="00333AC0" w:rsidRPr="00B275D4" w:rsidRDefault="00333AC0" w:rsidP="00011A05">
      <w:pPr>
        <w:rPr>
          <w:color w:val="000000" w:themeColor="text1"/>
          <w:szCs w:val="22"/>
        </w:rPr>
      </w:pPr>
      <w:r w:rsidRPr="00D83A8F">
        <w:rPr>
          <w:color w:val="000000" w:themeColor="text1"/>
          <w:szCs w:val="22"/>
        </w:rPr>
        <w:t xml:space="preserve">Dehulled and polished grain (harvested at physiological maturity) from each of the verified plant backgrounds/generations described </w:t>
      </w:r>
      <w:r w:rsidRPr="00B275D4">
        <w:rPr>
          <w:color w:val="000000" w:themeColor="text1"/>
          <w:szCs w:val="22"/>
        </w:rPr>
        <w:t>in Section 3.4.1 (see also Figure 4 and Table 2) was ground and acetone-extracted for analysis of total carotenoids using UV/VIS spectral analysis from 800 – 350 nm. Due to limitations in grain availability the plant sample size for each analysis ranged from 1 – 5. Two non-GM controls were included – Kaybonnet and Rc82</w:t>
      </w:r>
      <w:r>
        <w:rPr>
          <w:color w:val="000000" w:themeColor="text1"/>
          <w:szCs w:val="22"/>
        </w:rPr>
        <w:t>.</w:t>
      </w:r>
      <w:r w:rsidRPr="00B275D4">
        <w:rPr>
          <w:color w:val="000000" w:themeColor="text1"/>
          <w:szCs w:val="22"/>
        </w:rPr>
        <w:t xml:space="preserve"> </w:t>
      </w:r>
    </w:p>
    <w:p w14:paraId="206439B8" w14:textId="77777777" w:rsidR="00333AC0" w:rsidRPr="00B275D4" w:rsidRDefault="00333AC0" w:rsidP="00011A05">
      <w:pPr>
        <w:rPr>
          <w:color w:val="000000" w:themeColor="text1"/>
          <w:szCs w:val="22"/>
        </w:rPr>
      </w:pPr>
    </w:p>
    <w:p w14:paraId="206439B9" w14:textId="77777777" w:rsidR="00333AC0" w:rsidRPr="00D83A8F" w:rsidRDefault="00333AC0" w:rsidP="00011A05">
      <w:pPr>
        <w:rPr>
          <w:color w:val="000000" w:themeColor="text1"/>
          <w:szCs w:val="22"/>
        </w:rPr>
      </w:pPr>
      <w:r w:rsidRPr="00B275D4">
        <w:rPr>
          <w:color w:val="000000" w:themeColor="text1"/>
          <w:szCs w:val="22"/>
        </w:rPr>
        <w:t>Although there was variation between the results from different genetic backgrounds (Table 3) there was consistency within the different generations from each background thereby</w:t>
      </w:r>
      <w:r>
        <w:rPr>
          <w:color w:val="000000" w:themeColor="text1"/>
          <w:szCs w:val="22"/>
        </w:rPr>
        <w:t xml:space="preserve"> demonstrating stable inheritance within each background.</w:t>
      </w:r>
    </w:p>
    <w:p w14:paraId="206439BA" w14:textId="77777777" w:rsidR="00333AC0" w:rsidRPr="00D83A8F" w:rsidRDefault="00333AC0" w:rsidP="00011A05">
      <w:pPr>
        <w:rPr>
          <w:color w:val="000000" w:themeColor="text1"/>
          <w:szCs w:val="22"/>
        </w:rPr>
      </w:pPr>
    </w:p>
    <w:p w14:paraId="206439BB" w14:textId="77777777" w:rsidR="00333AC0" w:rsidRDefault="00333AC0" w:rsidP="00011A05">
      <w:pPr>
        <w:pStyle w:val="Caption"/>
        <w:keepNext/>
        <w:ind w:left="993" w:hanging="993"/>
        <w:rPr>
          <w:sz w:val="22"/>
          <w:szCs w:val="22"/>
        </w:rPr>
      </w:pPr>
      <w:bookmarkStart w:id="31" w:name="_Toc468350345"/>
      <w:bookmarkStart w:id="32" w:name="_Toc487212002"/>
      <w:r w:rsidRPr="00D41322">
        <w:rPr>
          <w:sz w:val="22"/>
          <w:szCs w:val="22"/>
        </w:rPr>
        <w:t xml:space="preserve">Table </w:t>
      </w:r>
      <w:r w:rsidRPr="00D41322">
        <w:rPr>
          <w:sz w:val="22"/>
          <w:szCs w:val="22"/>
        </w:rPr>
        <w:fldChar w:fldCharType="begin"/>
      </w:r>
      <w:r w:rsidRPr="00D41322">
        <w:rPr>
          <w:sz w:val="22"/>
          <w:szCs w:val="22"/>
        </w:rPr>
        <w:instrText xml:space="preserve"> SEQ Table \* ARABIC </w:instrText>
      </w:r>
      <w:r w:rsidRPr="00D41322">
        <w:rPr>
          <w:sz w:val="22"/>
          <w:szCs w:val="22"/>
        </w:rPr>
        <w:fldChar w:fldCharType="separate"/>
      </w:r>
      <w:r w:rsidR="00286242">
        <w:rPr>
          <w:noProof/>
          <w:sz w:val="22"/>
          <w:szCs w:val="22"/>
        </w:rPr>
        <w:t>3</w:t>
      </w:r>
      <w:r w:rsidRPr="00D41322">
        <w:rPr>
          <w:sz w:val="22"/>
          <w:szCs w:val="22"/>
        </w:rPr>
        <w:fldChar w:fldCharType="end"/>
      </w:r>
      <w:r w:rsidRPr="00D41322">
        <w:rPr>
          <w:sz w:val="22"/>
          <w:szCs w:val="22"/>
        </w:rPr>
        <w:t>: Concentrations of total carotenoids in different generations and germplasm backgrounds of GR2E</w:t>
      </w:r>
      <w:bookmarkEnd w:id="31"/>
      <w:bookmarkEnd w:id="32"/>
    </w:p>
    <w:p w14:paraId="206439BC" w14:textId="77777777" w:rsidR="00333AC0" w:rsidRPr="00D41322" w:rsidRDefault="00333AC0" w:rsidP="00011A05">
      <w:pPr>
        <w:rPr>
          <w:lang w:val="en-AU" w:bidi="ar-SA"/>
        </w:rPr>
      </w:pPr>
    </w:p>
    <w:tbl>
      <w:tblPr>
        <w:tblStyle w:val="TableGrid"/>
        <w:tblW w:w="0" w:type="auto"/>
        <w:tblLayout w:type="fixed"/>
        <w:tblLook w:val="04A0" w:firstRow="1" w:lastRow="0" w:firstColumn="1" w:lastColumn="0" w:noHBand="0" w:noVBand="1"/>
        <w:tblCaption w:val="Table 3: Concentrations of total carotenoids in different generations and germplasm backgrounds of GR2E"/>
      </w:tblPr>
      <w:tblGrid>
        <w:gridCol w:w="1384"/>
        <w:gridCol w:w="2853"/>
        <w:gridCol w:w="1682"/>
        <w:gridCol w:w="1682"/>
        <w:gridCol w:w="1685"/>
      </w:tblGrid>
      <w:tr w:rsidR="00333AC0" w:rsidRPr="00922169" w14:paraId="206439BF" w14:textId="77777777" w:rsidTr="00011A05">
        <w:trPr>
          <w:trHeight w:val="397"/>
        </w:trPr>
        <w:tc>
          <w:tcPr>
            <w:tcW w:w="1384" w:type="dxa"/>
            <w:shd w:val="clear" w:color="auto" w:fill="9BBB59" w:themeFill="accent3"/>
            <w:vAlign w:val="center"/>
          </w:tcPr>
          <w:p w14:paraId="206439BD" w14:textId="77777777" w:rsidR="00333AC0" w:rsidRPr="00DF7316" w:rsidRDefault="00333AC0" w:rsidP="00011A05">
            <w:pPr>
              <w:jc w:val="center"/>
              <w:rPr>
                <w:b/>
                <w:color w:val="FFFFFF" w:themeColor="background1"/>
                <w:szCs w:val="20"/>
              </w:rPr>
            </w:pPr>
          </w:p>
        </w:tc>
        <w:tc>
          <w:tcPr>
            <w:tcW w:w="7902" w:type="dxa"/>
            <w:gridSpan w:val="4"/>
            <w:shd w:val="clear" w:color="auto" w:fill="9BBB59" w:themeFill="accent3"/>
            <w:vAlign w:val="center"/>
          </w:tcPr>
          <w:p w14:paraId="206439BE" w14:textId="77777777" w:rsidR="00333AC0" w:rsidRPr="00830C97" w:rsidRDefault="00333AC0" w:rsidP="00011A05">
            <w:pPr>
              <w:jc w:val="center"/>
              <w:rPr>
                <w:b/>
                <w:color w:val="FFFFFF" w:themeColor="background1"/>
                <w:szCs w:val="20"/>
                <w:vertAlign w:val="superscript"/>
              </w:rPr>
            </w:pPr>
            <w:r w:rsidRPr="00DF7316">
              <w:rPr>
                <w:b/>
                <w:color w:val="FFFFFF" w:themeColor="background1"/>
                <w:szCs w:val="20"/>
              </w:rPr>
              <w:t>Mean total carotenoids (</w:t>
            </w:r>
            <w:r w:rsidRPr="00DF7316">
              <w:rPr>
                <w:rFonts w:cs="Arial"/>
                <w:b/>
                <w:color w:val="FFFFFF" w:themeColor="background1"/>
                <w:szCs w:val="20"/>
              </w:rPr>
              <w:t>μ</w:t>
            </w:r>
            <w:r w:rsidRPr="00DF7316">
              <w:rPr>
                <w:b/>
                <w:color w:val="FFFFFF" w:themeColor="background1"/>
                <w:szCs w:val="20"/>
              </w:rPr>
              <w:t>g/g fw)</w:t>
            </w:r>
            <w:r>
              <w:rPr>
                <w:b/>
                <w:color w:val="FFFFFF" w:themeColor="background1"/>
                <w:szCs w:val="20"/>
                <w:vertAlign w:val="superscript"/>
              </w:rPr>
              <w:t>1</w:t>
            </w:r>
          </w:p>
        </w:tc>
      </w:tr>
      <w:tr w:rsidR="00333AC0" w:rsidRPr="00922169" w14:paraId="206439C5" w14:textId="77777777" w:rsidTr="00011A05">
        <w:trPr>
          <w:trHeight w:val="397"/>
        </w:trPr>
        <w:tc>
          <w:tcPr>
            <w:tcW w:w="1384" w:type="dxa"/>
            <w:shd w:val="clear" w:color="auto" w:fill="9BBB59" w:themeFill="accent3"/>
            <w:vAlign w:val="center"/>
          </w:tcPr>
          <w:p w14:paraId="206439C0" w14:textId="77777777" w:rsidR="00333AC0" w:rsidRPr="00DF7316" w:rsidRDefault="00333AC0" w:rsidP="00011A05">
            <w:pPr>
              <w:jc w:val="center"/>
              <w:rPr>
                <w:b/>
                <w:color w:val="FFFFFF" w:themeColor="background1"/>
                <w:szCs w:val="20"/>
              </w:rPr>
            </w:pPr>
            <w:r w:rsidRPr="00DF7316">
              <w:rPr>
                <w:b/>
                <w:color w:val="FFFFFF" w:themeColor="background1"/>
                <w:szCs w:val="20"/>
              </w:rPr>
              <w:t>Generation/background</w:t>
            </w:r>
          </w:p>
        </w:tc>
        <w:tc>
          <w:tcPr>
            <w:tcW w:w="2853" w:type="dxa"/>
            <w:shd w:val="clear" w:color="auto" w:fill="9BBB59" w:themeFill="accent3"/>
            <w:vAlign w:val="center"/>
          </w:tcPr>
          <w:p w14:paraId="206439C1" w14:textId="77777777" w:rsidR="00333AC0" w:rsidRPr="00DF7316" w:rsidRDefault="00333AC0" w:rsidP="00011A05">
            <w:pPr>
              <w:jc w:val="center"/>
              <w:rPr>
                <w:b/>
                <w:color w:val="FFFFFF" w:themeColor="background1"/>
                <w:szCs w:val="20"/>
              </w:rPr>
            </w:pPr>
            <w:r w:rsidRPr="00DF7316">
              <w:rPr>
                <w:b/>
                <w:color w:val="FFFFFF" w:themeColor="background1"/>
                <w:szCs w:val="20"/>
              </w:rPr>
              <w:t>Kaybonnet</w:t>
            </w:r>
            <w:r>
              <w:rPr>
                <w:b/>
                <w:color w:val="FFFFFF" w:themeColor="background1"/>
                <w:szCs w:val="20"/>
              </w:rPr>
              <w:t xml:space="preserve"> (GR2E)</w:t>
            </w:r>
          </w:p>
        </w:tc>
        <w:tc>
          <w:tcPr>
            <w:tcW w:w="1682" w:type="dxa"/>
            <w:shd w:val="clear" w:color="auto" w:fill="9BBB59" w:themeFill="accent3"/>
            <w:vAlign w:val="center"/>
          </w:tcPr>
          <w:p w14:paraId="206439C2" w14:textId="77777777" w:rsidR="00333AC0" w:rsidRPr="00DF7316" w:rsidRDefault="00333AC0" w:rsidP="00011A05">
            <w:pPr>
              <w:jc w:val="center"/>
              <w:rPr>
                <w:b/>
                <w:color w:val="FFFFFF" w:themeColor="background1"/>
                <w:szCs w:val="20"/>
              </w:rPr>
            </w:pPr>
            <w:r w:rsidRPr="00DF7316">
              <w:rPr>
                <w:b/>
                <w:color w:val="FFFFFF" w:themeColor="background1"/>
                <w:szCs w:val="20"/>
              </w:rPr>
              <w:t>Rc82</w:t>
            </w:r>
            <w:r>
              <w:rPr>
                <w:b/>
                <w:color w:val="FFFFFF" w:themeColor="background1"/>
                <w:szCs w:val="20"/>
              </w:rPr>
              <w:t xml:space="preserve"> (GR2E)</w:t>
            </w:r>
          </w:p>
        </w:tc>
        <w:tc>
          <w:tcPr>
            <w:tcW w:w="1682" w:type="dxa"/>
            <w:shd w:val="clear" w:color="auto" w:fill="9BBB59" w:themeFill="accent3"/>
            <w:vAlign w:val="center"/>
          </w:tcPr>
          <w:p w14:paraId="206439C3" w14:textId="77777777" w:rsidR="00333AC0" w:rsidRPr="00DF7316" w:rsidRDefault="00333AC0" w:rsidP="00011A05">
            <w:pPr>
              <w:jc w:val="center"/>
              <w:rPr>
                <w:b/>
                <w:color w:val="FFFFFF" w:themeColor="background1"/>
                <w:szCs w:val="20"/>
              </w:rPr>
            </w:pPr>
            <w:r w:rsidRPr="00DF7316">
              <w:rPr>
                <w:b/>
                <w:color w:val="FFFFFF" w:themeColor="background1"/>
                <w:szCs w:val="20"/>
              </w:rPr>
              <w:t>IR64</w:t>
            </w:r>
            <w:r>
              <w:rPr>
                <w:b/>
                <w:color w:val="FFFFFF" w:themeColor="background1"/>
                <w:szCs w:val="20"/>
              </w:rPr>
              <w:t xml:space="preserve"> (GR2E)</w:t>
            </w:r>
          </w:p>
        </w:tc>
        <w:tc>
          <w:tcPr>
            <w:tcW w:w="1685" w:type="dxa"/>
            <w:shd w:val="clear" w:color="auto" w:fill="9BBB59" w:themeFill="accent3"/>
            <w:vAlign w:val="center"/>
          </w:tcPr>
          <w:p w14:paraId="206439C4" w14:textId="77777777" w:rsidR="00333AC0" w:rsidRPr="00DF7316" w:rsidRDefault="00333AC0" w:rsidP="00011A05">
            <w:pPr>
              <w:jc w:val="center"/>
              <w:rPr>
                <w:b/>
                <w:color w:val="FFFFFF" w:themeColor="background1"/>
                <w:szCs w:val="20"/>
              </w:rPr>
            </w:pPr>
            <w:r w:rsidRPr="00DF7316">
              <w:rPr>
                <w:b/>
                <w:color w:val="FFFFFF" w:themeColor="background1"/>
                <w:szCs w:val="20"/>
              </w:rPr>
              <w:t>BR29</w:t>
            </w:r>
            <w:r>
              <w:rPr>
                <w:b/>
                <w:color w:val="FFFFFF" w:themeColor="background1"/>
                <w:szCs w:val="20"/>
              </w:rPr>
              <w:t>(GR2E)</w:t>
            </w:r>
          </w:p>
        </w:tc>
      </w:tr>
      <w:tr w:rsidR="00333AC0" w:rsidRPr="00922169" w14:paraId="206439CB" w14:textId="77777777" w:rsidTr="00011A05">
        <w:trPr>
          <w:trHeight w:val="397"/>
        </w:trPr>
        <w:tc>
          <w:tcPr>
            <w:tcW w:w="1384" w:type="dxa"/>
            <w:vAlign w:val="center"/>
          </w:tcPr>
          <w:p w14:paraId="206439C6" w14:textId="77777777" w:rsidR="00333AC0" w:rsidRPr="00922169" w:rsidRDefault="00333AC0" w:rsidP="00011A05">
            <w:pPr>
              <w:jc w:val="center"/>
              <w:rPr>
                <w:color w:val="000000" w:themeColor="text1"/>
                <w:szCs w:val="20"/>
                <w:vertAlign w:val="subscript"/>
              </w:rPr>
            </w:pPr>
            <w:r>
              <w:rPr>
                <w:color w:val="000000" w:themeColor="text1"/>
                <w:szCs w:val="20"/>
              </w:rPr>
              <w:t>T</w:t>
            </w:r>
            <w:r>
              <w:rPr>
                <w:color w:val="000000" w:themeColor="text1"/>
                <w:szCs w:val="20"/>
                <w:vertAlign w:val="subscript"/>
              </w:rPr>
              <w:t>n</w:t>
            </w:r>
          </w:p>
        </w:tc>
        <w:tc>
          <w:tcPr>
            <w:tcW w:w="2853" w:type="dxa"/>
            <w:vAlign w:val="center"/>
          </w:tcPr>
          <w:p w14:paraId="206439C7" w14:textId="77777777" w:rsidR="00333AC0" w:rsidRPr="00922169" w:rsidRDefault="00333AC0" w:rsidP="00011A05">
            <w:pPr>
              <w:jc w:val="center"/>
              <w:rPr>
                <w:color w:val="000000" w:themeColor="text1"/>
                <w:szCs w:val="20"/>
              </w:rPr>
            </w:pPr>
            <w:r>
              <w:rPr>
                <w:color w:val="000000" w:themeColor="text1"/>
                <w:szCs w:val="20"/>
              </w:rPr>
              <w:t>30.50 (1)</w:t>
            </w:r>
          </w:p>
        </w:tc>
        <w:tc>
          <w:tcPr>
            <w:tcW w:w="1682" w:type="dxa"/>
            <w:vAlign w:val="center"/>
          </w:tcPr>
          <w:p w14:paraId="206439C8" w14:textId="77777777" w:rsidR="00333AC0" w:rsidRPr="00922169" w:rsidRDefault="00333AC0" w:rsidP="00011A05">
            <w:pPr>
              <w:jc w:val="center"/>
              <w:rPr>
                <w:color w:val="000000" w:themeColor="text1"/>
                <w:szCs w:val="20"/>
              </w:rPr>
            </w:pPr>
          </w:p>
        </w:tc>
        <w:tc>
          <w:tcPr>
            <w:tcW w:w="1682" w:type="dxa"/>
            <w:vAlign w:val="center"/>
          </w:tcPr>
          <w:p w14:paraId="206439C9" w14:textId="77777777" w:rsidR="00333AC0" w:rsidRPr="00922169" w:rsidRDefault="00333AC0" w:rsidP="00011A05">
            <w:pPr>
              <w:jc w:val="center"/>
              <w:rPr>
                <w:color w:val="000000" w:themeColor="text1"/>
                <w:szCs w:val="20"/>
              </w:rPr>
            </w:pPr>
          </w:p>
        </w:tc>
        <w:tc>
          <w:tcPr>
            <w:tcW w:w="1685" w:type="dxa"/>
            <w:vAlign w:val="center"/>
          </w:tcPr>
          <w:p w14:paraId="206439CA" w14:textId="77777777" w:rsidR="00333AC0" w:rsidRPr="00922169" w:rsidRDefault="00333AC0" w:rsidP="00011A05">
            <w:pPr>
              <w:jc w:val="center"/>
              <w:rPr>
                <w:color w:val="000000" w:themeColor="text1"/>
                <w:szCs w:val="20"/>
              </w:rPr>
            </w:pPr>
          </w:p>
        </w:tc>
      </w:tr>
      <w:tr w:rsidR="00333AC0" w:rsidRPr="00922169" w14:paraId="206439D1" w14:textId="77777777" w:rsidTr="00011A05">
        <w:trPr>
          <w:trHeight w:val="397"/>
        </w:trPr>
        <w:tc>
          <w:tcPr>
            <w:tcW w:w="1384" w:type="dxa"/>
            <w:shd w:val="clear" w:color="auto" w:fill="D6E3BC" w:themeFill="accent3" w:themeFillTint="66"/>
            <w:vAlign w:val="center"/>
          </w:tcPr>
          <w:p w14:paraId="206439CC" w14:textId="77777777" w:rsidR="00333AC0" w:rsidRPr="00AB4696" w:rsidRDefault="00333AC0" w:rsidP="00011A05">
            <w:pPr>
              <w:jc w:val="center"/>
              <w:rPr>
                <w:color w:val="000000" w:themeColor="text1"/>
                <w:szCs w:val="20"/>
                <w:vertAlign w:val="subscript"/>
              </w:rPr>
            </w:pPr>
            <w:r>
              <w:rPr>
                <w:color w:val="000000" w:themeColor="text1"/>
                <w:szCs w:val="20"/>
              </w:rPr>
              <w:t>BC</w:t>
            </w:r>
            <w:r>
              <w:rPr>
                <w:color w:val="000000" w:themeColor="text1"/>
                <w:szCs w:val="20"/>
                <w:vertAlign w:val="subscript"/>
              </w:rPr>
              <w:t>3</w:t>
            </w:r>
            <w:r>
              <w:rPr>
                <w:color w:val="000000" w:themeColor="text1"/>
                <w:szCs w:val="20"/>
              </w:rPr>
              <w:t>F</w:t>
            </w:r>
            <w:r>
              <w:rPr>
                <w:color w:val="000000" w:themeColor="text1"/>
                <w:szCs w:val="20"/>
                <w:vertAlign w:val="subscript"/>
              </w:rPr>
              <w:t>5</w:t>
            </w:r>
          </w:p>
        </w:tc>
        <w:tc>
          <w:tcPr>
            <w:tcW w:w="2853" w:type="dxa"/>
            <w:shd w:val="clear" w:color="auto" w:fill="D6E3BC" w:themeFill="accent3" w:themeFillTint="66"/>
            <w:vAlign w:val="center"/>
          </w:tcPr>
          <w:p w14:paraId="206439CD" w14:textId="77777777" w:rsidR="00333AC0" w:rsidRPr="00922169" w:rsidRDefault="00333AC0" w:rsidP="00011A05">
            <w:pPr>
              <w:jc w:val="center"/>
              <w:rPr>
                <w:color w:val="000000" w:themeColor="text1"/>
                <w:szCs w:val="20"/>
              </w:rPr>
            </w:pPr>
          </w:p>
        </w:tc>
        <w:tc>
          <w:tcPr>
            <w:tcW w:w="1682" w:type="dxa"/>
            <w:shd w:val="clear" w:color="auto" w:fill="D6E3BC" w:themeFill="accent3" w:themeFillTint="66"/>
            <w:vAlign w:val="center"/>
          </w:tcPr>
          <w:p w14:paraId="206439CE" w14:textId="77777777" w:rsidR="00333AC0" w:rsidRPr="00922169" w:rsidRDefault="00333AC0" w:rsidP="00011A05">
            <w:pPr>
              <w:jc w:val="center"/>
              <w:rPr>
                <w:color w:val="000000" w:themeColor="text1"/>
                <w:szCs w:val="20"/>
              </w:rPr>
            </w:pPr>
            <w:r>
              <w:rPr>
                <w:color w:val="000000" w:themeColor="text1"/>
                <w:szCs w:val="20"/>
              </w:rPr>
              <w:t xml:space="preserve">12.84 </w:t>
            </w:r>
            <w:r>
              <w:rPr>
                <w:rFonts w:cs="Arial"/>
                <w:color w:val="000000" w:themeColor="text1"/>
                <w:szCs w:val="20"/>
              </w:rPr>
              <w:t>± 3.32 (2)</w:t>
            </w:r>
          </w:p>
        </w:tc>
        <w:tc>
          <w:tcPr>
            <w:tcW w:w="1682" w:type="dxa"/>
            <w:shd w:val="clear" w:color="auto" w:fill="D6E3BC" w:themeFill="accent3" w:themeFillTint="66"/>
            <w:vAlign w:val="center"/>
          </w:tcPr>
          <w:p w14:paraId="206439CF" w14:textId="77777777" w:rsidR="00333AC0" w:rsidRPr="00922169" w:rsidRDefault="00333AC0" w:rsidP="00011A05">
            <w:pPr>
              <w:jc w:val="center"/>
              <w:rPr>
                <w:color w:val="000000" w:themeColor="text1"/>
                <w:szCs w:val="20"/>
              </w:rPr>
            </w:pPr>
            <w:r>
              <w:rPr>
                <w:color w:val="000000" w:themeColor="text1"/>
                <w:szCs w:val="20"/>
              </w:rPr>
              <w:t xml:space="preserve">20.11 </w:t>
            </w:r>
            <w:r>
              <w:rPr>
                <w:rFonts w:cs="Arial"/>
                <w:color w:val="000000" w:themeColor="text1"/>
                <w:szCs w:val="20"/>
              </w:rPr>
              <w:t>± 8.71 (5)</w:t>
            </w:r>
          </w:p>
        </w:tc>
        <w:tc>
          <w:tcPr>
            <w:tcW w:w="1685" w:type="dxa"/>
            <w:shd w:val="clear" w:color="auto" w:fill="D6E3BC" w:themeFill="accent3" w:themeFillTint="66"/>
            <w:vAlign w:val="center"/>
          </w:tcPr>
          <w:p w14:paraId="206439D0" w14:textId="77777777" w:rsidR="00333AC0" w:rsidRPr="00922169" w:rsidRDefault="00333AC0" w:rsidP="00011A05">
            <w:pPr>
              <w:jc w:val="center"/>
              <w:rPr>
                <w:color w:val="000000" w:themeColor="text1"/>
                <w:szCs w:val="20"/>
              </w:rPr>
            </w:pPr>
            <w:r>
              <w:rPr>
                <w:color w:val="000000" w:themeColor="text1"/>
                <w:szCs w:val="20"/>
              </w:rPr>
              <w:t>No grain available</w:t>
            </w:r>
          </w:p>
        </w:tc>
      </w:tr>
      <w:tr w:rsidR="00333AC0" w:rsidRPr="00922169" w14:paraId="206439D7" w14:textId="77777777" w:rsidTr="00011A05">
        <w:trPr>
          <w:trHeight w:val="397"/>
        </w:trPr>
        <w:tc>
          <w:tcPr>
            <w:tcW w:w="1384" w:type="dxa"/>
            <w:tcBorders>
              <w:bottom w:val="single" w:sz="4" w:space="0" w:color="000000"/>
            </w:tcBorders>
            <w:vAlign w:val="center"/>
          </w:tcPr>
          <w:p w14:paraId="206439D2" w14:textId="77777777" w:rsidR="00333AC0" w:rsidRPr="00AB4696" w:rsidRDefault="00333AC0" w:rsidP="00011A05">
            <w:pPr>
              <w:jc w:val="center"/>
              <w:rPr>
                <w:color w:val="000000" w:themeColor="text1"/>
                <w:szCs w:val="20"/>
                <w:vertAlign w:val="subscript"/>
              </w:rPr>
            </w:pPr>
            <w:r>
              <w:rPr>
                <w:color w:val="000000" w:themeColor="text1"/>
                <w:szCs w:val="20"/>
              </w:rPr>
              <w:t>BC</w:t>
            </w:r>
            <w:r>
              <w:rPr>
                <w:color w:val="000000" w:themeColor="text1"/>
                <w:szCs w:val="20"/>
                <w:vertAlign w:val="subscript"/>
              </w:rPr>
              <w:t>4</w:t>
            </w:r>
            <w:r>
              <w:rPr>
                <w:color w:val="000000" w:themeColor="text1"/>
                <w:szCs w:val="20"/>
              </w:rPr>
              <w:t>F</w:t>
            </w:r>
            <w:r>
              <w:rPr>
                <w:color w:val="000000" w:themeColor="text1"/>
                <w:szCs w:val="20"/>
                <w:vertAlign w:val="subscript"/>
              </w:rPr>
              <w:t>3</w:t>
            </w:r>
          </w:p>
        </w:tc>
        <w:tc>
          <w:tcPr>
            <w:tcW w:w="2853" w:type="dxa"/>
            <w:tcBorders>
              <w:bottom w:val="single" w:sz="4" w:space="0" w:color="000000"/>
            </w:tcBorders>
            <w:vAlign w:val="center"/>
          </w:tcPr>
          <w:p w14:paraId="206439D3" w14:textId="77777777" w:rsidR="00333AC0" w:rsidRPr="00922169" w:rsidRDefault="00333AC0" w:rsidP="00011A05">
            <w:pPr>
              <w:jc w:val="center"/>
              <w:rPr>
                <w:color w:val="000000" w:themeColor="text1"/>
                <w:szCs w:val="20"/>
              </w:rPr>
            </w:pPr>
          </w:p>
        </w:tc>
        <w:tc>
          <w:tcPr>
            <w:tcW w:w="1682" w:type="dxa"/>
            <w:tcBorders>
              <w:bottom w:val="single" w:sz="4" w:space="0" w:color="000000"/>
            </w:tcBorders>
            <w:vAlign w:val="center"/>
          </w:tcPr>
          <w:p w14:paraId="206439D4" w14:textId="77777777" w:rsidR="00333AC0" w:rsidRPr="00922169" w:rsidRDefault="00333AC0" w:rsidP="00011A05">
            <w:pPr>
              <w:jc w:val="center"/>
              <w:rPr>
                <w:color w:val="000000" w:themeColor="text1"/>
                <w:szCs w:val="20"/>
              </w:rPr>
            </w:pPr>
            <w:r>
              <w:rPr>
                <w:color w:val="000000" w:themeColor="text1"/>
                <w:szCs w:val="20"/>
              </w:rPr>
              <w:t xml:space="preserve">9.09 </w:t>
            </w:r>
            <w:r>
              <w:rPr>
                <w:rFonts w:cs="Arial"/>
                <w:color w:val="000000" w:themeColor="text1"/>
                <w:szCs w:val="20"/>
              </w:rPr>
              <w:t>± 2.26 (5)</w:t>
            </w:r>
          </w:p>
        </w:tc>
        <w:tc>
          <w:tcPr>
            <w:tcW w:w="1682" w:type="dxa"/>
            <w:tcBorders>
              <w:bottom w:val="single" w:sz="4" w:space="0" w:color="000000"/>
            </w:tcBorders>
            <w:vAlign w:val="center"/>
          </w:tcPr>
          <w:p w14:paraId="206439D5" w14:textId="77777777" w:rsidR="00333AC0" w:rsidRPr="00922169" w:rsidRDefault="00333AC0" w:rsidP="00011A05">
            <w:pPr>
              <w:jc w:val="center"/>
              <w:rPr>
                <w:color w:val="000000" w:themeColor="text1"/>
                <w:szCs w:val="20"/>
              </w:rPr>
            </w:pPr>
            <w:r>
              <w:rPr>
                <w:color w:val="000000" w:themeColor="text1"/>
                <w:szCs w:val="20"/>
              </w:rPr>
              <w:t xml:space="preserve">19.40 </w:t>
            </w:r>
            <w:r>
              <w:rPr>
                <w:rFonts w:cs="Arial"/>
                <w:color w:val="000000" w:themeColor="text1"/>
                <w:szCs w:val="20"/>
              </w:rPr>
              <w:t>± 2.00 (5)</w:t>
            </w:r>
          </w:p>
        </w:tc>
        <w:tc>
          <w:tcPr>
            <w:tcW w:w="1685" w:type="dxa"/>
            <w:tcBorders>
              <w:bottom w:val="single" w:sz="4" w:space="0" w:color="000000"/>
            </w:tcBorders>
            <w:vAlign w:val="center"/>
          </w:tcPr>
          <w:p w14:paraId="206439D6" w14:textId="77777777" w:rsidR="00333AC0" w:rsidRPr="00922169" w:rsidRDefault="00333AC0" w:rsidP="00011A05">
            <w:pPr>
              <w:jc w:val="center"/>
              <w:rPr>
                <w:color w:val="000000" w:themeColor="text1"/>
                <w:szCs w:val="20"/>
              </w:rPr>
            </w:pPr>
            <w:r>
              <w:rPr>
                <w:color w:val="000000" w:themeColor="text1"/>
                <w:szCs w:val="20"/>
              </w:rPr>
              <w:t xml:space="preserve">24.50 </w:t>
            </w:r>
            <w:r>
              <w:rPr>
                <w:rFonts w:cs="Arial"/>
                <w:color w:val="000000" w:themeColor="text1"/>
                <w:szCs w:val="20"/>
              </w:rPr>
              <w:t>± 2.85 (2)</w:t>
            </w:r>
          </w:p>
        </w:tc>
      </w:tr>
      <w:tr w:rsidR="00333AC0" w:rsidRPr="00922169" w14:paraId="206439DD" w14:textId="77777777" w:rsidTr="00011A05">
        <w:trPr>
          <w:trHeight w:val="397"/>
        </w:trPr>
        <w:tc>
          <w:tcPr>
            <w:tcW w:w="1384" w:type="dxa"/>
            <w:tcBorders>
              <w:bottom w:val="thinThickSmallGap" w:sz="24" w:space="0" w:color="auto"/>
            </w:tcBorders>
            <w:shd w:val="clear" w:color="auto" w:fill="D6E3BC" w:themeFill="accent3" w:themeFillTint="66"/>
            <w:vAlign w:val="center"/>
          </w:tcPr>
          <w:p w14:paraId="206439D8" w14:textId="77777777" w:rsidR="00333AC0" w:rsidRPr="00AB4696" w:rsidRDefault="00333AC0" w:rsidP="00011A05">
            <w:pPr>
              <w:jc w:val="center"/>
              <w:rPr>
                <w:color w:val="000000" w:themeColor="text1"/>
                <w:szCs w:val="20"/>
                <w:vertAlign w:val="subscript"/>
              </w:rPr>
            </w:pPr>
            <w:r>
              <w:rPr>
                <w:color w:val="000000" w:themeColor="text1"/>
                <w:szCs w:val="20"/>
              </w:rPr>
              <w:t>BC</w:t>
            </w:r>
            <w:r>
              <w:rPr>
                <w:color w:val="000000" w:themeColor="text1"/>
                <w:szCs w:val="20"/>
                <w:vertAlign w:val="subscript"/>
              </w:rPr>
              <w:t>5</w:t>
            </w:r>
            <w:r>
              <w:rPr>
                <w:color w:val="000000" w:themeColor="text1"/>
                <w:szCs w:val="20"/>
              </w:rPr>
              <w:t>F</w:t>
            </w:r>
            <w:r>
              <w:rPr>
                <w:color w:val="000000" w:themeColor="text1"/>
                <w:szCs w:val="20"/>
                <w:vertAlign w:val="subscript"/>
              </w:rPr>
              <w:t>3</w:t>
            </w:r>
          </w:p>
        </w:tc>
        <w:tc>
          <w:tcPr>
            <w:tcW w:w="2853" w:type="dxa"/>
            <w:tcBorders>
              <w:bottom w:val="thinThickSmallGap" w:sz="24" w:space="0" w:color="auto"/>
            </w:tcBorders>
            <w:shd w:val="clear" w:color="auto" w:fill="D6E3BC" w:themeFill="accent3" w:themeFillTint="66"/>
            <w:vAlign w:val="center"/>
          </w:tcPr>
          <w:p w14:paraId="206439D9" w14:textId="77777777" w:rsidR="00333AC0" w:rsidRPr="00922169" w:rsidRDefault="00333AC0" w:rsidP="00011A05">
            <w:pPr>
              <w:jc w:val="center"/>
              <w:rPr>
                <w:color w:val="000000" w:themeColor="text1"/>
                <w:szCs w:val="20"/>
              </w:rPr>
            </w:pPr>
          </w:p>
        </w:tc>
        <w:tc>
          <w:tcPr>
            <w:tcW w:w="1682" w:type="dxa"/>
            <w:tcBorders>
              <w:bottom w:val="thinThickSmallGap" w:sz="24" w:space="0" w:color="auto"/>
            </w:tcBorders>
            <w:shd w:val="clear" w:color="auto" w:fill="D6E3BC" w:themeFill="accent3" w:themeFillTint="66"/>
            <w:vAlign w:val="center"/>
          </w:tcPr>
          <w:p w14:paraId="206439DA" w14:textId="77777777" w:rsidR="00333AC0" w:rsidRPr="00922169" w:rsidRDefault="00333AC0" w:rsidP="00011A05">
            <w:pPr>
              <w:jc w:val="center"/>
              <w:rPr>
                <w:color w:val="000000" w:themeColor="text1"/>
                <w:szCs w:val="20"/>
              </w:rPr>
            </w:pPr>
            <w:r>
              <w:rPr>
                <w:color w:val="000000" w:themeColor="text1"/>
                <w:szCs w:val="20"/>
              </w:rPr>
              <w:t xml:space="preserve">14.12 </w:t>
            </w:r>
            <w:r>
              <w:rPr>
                <w:rFonts w:cs="Arial"/>
                <w:color w:val="000000" w:themeColor="text1"/>
                <w:szCs w:val="20"/>
              </w:rPr>
              <w:t>(1)</w:t>
            </w:r>
          </w:p>
        </w:tc>
        <w:tc>
          <w:tcPr>
            <w:tcW w:w="1682" w:type="dxa"/>
            <w:tcBorders>
              <w:bottom w:val="thinThickSmallGap" w:sz="24" w:space="0" w:color="auto"/>
            </w:tcBorders>
            <w:shd w:val="clear" w:color="auto" w:fill="D6E3BC" w:themeFill="accent3" w:themeFillTint="66"/>
            <w:vAlign w:val="center"/>
          </w:tcPr>
          <w:p w14:paraId="206439DB" w14:textId="77777777" w:rsidR="00333AC0" w:rsidRPr="00922169" w:rsidRDefault="00333AC0" w:rsidP="00011A05">
            <w:pPr>
              <w:jc w:val="center"/>
              <w:rPr>
                <w:color w:val="000000" w:themeColor="text1"/>
                <w:szCs w:val="20"/>
              </w:rPr>
            </w:pPr>
            <w:r>
              <w:rPr>
                <w:color w:val="000000" w:themeColor="text1"/>
                <w:szCs w:val="20"/>
              </w:rPr>
              <w:t xml:space="preserve">13.23 </w:t>
            </w:r>
            <w:r>
              <w:rPr>
                <w:rFonts w:cs="Arial"/>
                <w:color w:val="000000" w:themeColor="text1"/>
                <w:szCs w:val="20"/>
              </w:rPr>
              <w:t>± 1.16 (2)</w:t>
            </w:r>
          </w:p>
        </w:tc>
        <w:tc>
          <w:tcPr>
            <w:tcW w:w="1685" w:type="dxa"/>
            <w:tcBorders>
              <w:bottom w:val="thinThickSmallGap" w:sz="24" w:space="0" w:color="auto"/>
            </w:tcBorders>
            <w:shd w:val="clear" w:color="auto" w:fill="D6E3BC" w:themeFill="accent3" w:themeFillTint="66"/>
            <w:vAlign w:val="center"/>
          </w:tcPr>
          <w:p w14:paraId="206439DC" w14:textId="77777777" w:rsidR="00333AC0" w:rsidRPr="00922169" w:rsidRDefault="00333AC0" w:rsidP="00011A05">
            <w:pPr>
              <w:jc w:val="center"/>
              <w:rPr>
                <w:color w:val="000000" w:themeColor="text1"/>
                <w:szCs w:val="20"/>
              </w:rPr>
            </w:pPr>
            <w:r>
              <w:rPr>
                <w:color w:val="000000" w:themeColor="text1"/>
                <w:szCs w:val="20"/>
              </w:rPr>
              <w:t xml:space="preserve">29.33 </w:t>
            </w:r>
            <w:r>
              <w:rPr>
                <w:rFonts w:cs="Arial"/>
                <w:color w:val="000000" w:themeColor="text1"/>
                <w:szCs w:val="20"/>
              </w:rPr>
              <w:t>± 3.14 (4)</w:t>
            </w:r>
          </w:p>
        </w:tc>
      </w:tr>
      <w:tr w:rsidR="00333AC0" w:rsidRPr="00922169" w14:paraId="206439E0" w14:textId="77777777" w:rsidTr="00011A05">
        <w:trPr>
          <w:trHeight w:val="397"/>
        </w:trPr>
        <w:tc>
          <w:tcPr>
            <w:tcW w:w="1384" w:type="dxa"/>
            <w:tcBorders>
              <w:top w:val="thinThickSmallGap" w:sz="24" w:space="0" w:color="auto"/>
            </w:tcBorders>
            <w:shd w:val="clear" w:color="auto" w:fill="FFFFFF" w:themeFill="background1"/>
            <w:vAlign w:val="center"/>
          </w:tcPr>
          <w:p w14:paraId="206439DE" w14:textId="77777777" w:rsidR="00333AC0" w:rsidRDefault="00333AC0" w:rsidP="00011A05">
            <w:pPr>
              <w:jc w:val="center"/>
              <w:rPr>
                <w:color w:val="000000" w:themeColor="text1"/>
                <w:szCs w:val="20"/>
              </w:rPr>
            </w:pPr>
            <w:r>
              <w:rPr>
                <w:color w:val="000000" w:themeColor="text1"/>
                <w:szCs w:val="20"/>
              </w:rPr>
              <w:t>Non-GM Kaybonnet</w:t>
            </w:r>
          </w:p>
        </w:tc>
        <w:tc>
          <w:tcPr>
            <w:tcW w:w="7902" w:type="dxa"/>
            <w:gridSpan w:val="4"/>
            <w:tcBorders>
              <w:top w:val="thinThickSmallGap" w:sz="24" w:space="0" w:color="auto"/>
            </w:tcBorders>
            <w:shd w:val="clear" w:color="auto" w:fill="FFFFFF" w:themeFill="background1"/>
            <w:vAlign w:val="center"/>
          </w:tcPr>
          <w:p w14:paraId="206439DF" w14:textId="77777777" w:rsidR="00333AC0" w:rsidRDefault="00333AC0" w:rsidP="00011A05">
            <w:pPr>
              <w:jc w:val="center"/>
              <w:rPr>
                <w:color w:val="000000" w:themeColor="text1"/>
                <w:szCs w:val="20"/>
              </w:rPr>
            </w:pPr>
            <w:r>
              <w:rPr>
                <w:color w:val="000000" w:themeColor="text1"/>
                <w:szCs w:val="20"/>
              </w:rPr>
              <w:t>0.87 (1)</w:t>
            </w:r>
          </w:p>
        </w:tc>
      </w:tr>
      <w:tr w:rsidR="00333AC0" w:rsidRPr="00922169" w14:paraId="206439E3" w14:textId="77777777" w:rsidTr="00011A05">
        <w:trPr>
          <w:trHeight w:val="397"/>
        </w:trPr>
        <w:tc>
          <w:tcPr>
            <w:tcW w:w="1384" w:type="dxa"/>
            <w:tcBorders>
              <w:bottom w:val="single" w:sz="4" w:space="0" w:color="000000"/>
            </w:tcBorders>
            <w:shd w:val="clear" w:color="auto" w:fill="D6E3BC" w:themeFill="accent3" w:themeFillTint="66"/>
            <w:vAlign w:val="center"/>
          </w:tcPr>
          <w:p w14:paraId="206439E1" w14:textId="77777777" w:rsidR="00333AC0" w:rsidRDefault="00333AC0" w:rsidP="00011A05">
            <w:pPr>
              <w:jc w:val="center"/>
              <w:rPr>
                <w:color w:val="000000" w:themeColor="text1"/>
                <w:szCs w:val="20"/>
              </w:rPr>
            </w:pPr>
            <w:r>
              <w:rPr>
                <w:color w:val="000000" w:themeColor="text1"/>
                <w:szCs w:val="20"/>
              </w:rPr>
              <w:t>Non-GM RC82</w:t>
            </w:r>
          </w:p>
        </w:tc>
        <w:tc>
          <w:tcPr>
            <w:tcW w:w="7902" w:type="dxa"/>
            <w:gridSpan w:val="4"/>
            <w:tcBorders>
              <w:bottom w:val="single" w:sz="4" w:space="0" w:color="000000"/>
            </w:tcBorders>
            <w:shd w:val="clear" w:color="auto" w:fill="D6E3BC" w:themeFill="accent3" w:themeFillTint="66"/>
            <w:vAlign w:val="center"/>
          </w:tcPr>
          <w:p w14:paraId="206439E2" w14:textId="77777777" w:rsidR="00333AC0" w:rsidRDefault="00333AC0" w:rsidP="00011A05">
            <w:pPr>
              <w:jc w:val="center"/>
              <w:rPr>
                <w:color w:val="000000" w:themeColor="text1"/>
                <w:szCs w:val="20"/>
              </w:rPr>
            </w:pPr>
            <w:r>
              <w:rPr>
                <w:color w:val="000000" w:themeColor="text1"/>
                <w:szCs w:val="20"/>
              </w:rPr>
              <w:t>1.29 (1)</w:t>
            </w:r>
          </w:p>
        </w:tc>
      </w:tr>
    </w:tbl>
    <w:p w14:paraId="206439E4" w14:textId="77777777" w:rsidR="00333AC0" w:rsidRPr="00830C97" w:rsidRDefault="00333AC0" w:rsidP="00011A05">
      <w:pPr>
        <w:rPr>
          <w:color w:val="000000" w:themeColor="text1"/>
          <w:sz w:val="20"/>
          <w:szCs w:val="20"/>
        </w:rPr>
      </w:pPr>
      <w:r>
        <w:rPr>
          <w:color w:val="000000" w:themeColor="text1"/>
          <w:sz w:val="20"/>
          <w:szCs w:val="20"/>
          <w:vertAlign w:val="superscript"/>
        </w:rPr>
        <w:t>1</w:t>
      </w:r>
      <w:r>
        <w:rPr>
          <w:color w:val="000000" w:themeColor="text1"/>
          <w:sz w:val="20"/>
          <w:szCs w:val="20"/>
        </w:rPr>
        <w:t>The number of plants sampled to provide each mean result is indicated in brackets</w:t>
      </w:r>
    </w:p>
    <w:p w14:paraId="206439E5" w14:textId="77777777" w:rsidR="00333AC0" w:rsidRPr="00D83A8F" w:rsidRDefault="00333AC0" w:rsidP="00011A05">
      <w:pPr>
        <w:rPr>
          <w:color w:val="000000" w:themeColor="text1"/>
          <w:szCs w:val="22"/>
        </w:rPr>
      </w:pPr>
    </w:p>
    <w:p w14:paraId="206439E6" w14:textId="77777777" w:rsidR="00333AC0" w:rsidRPr="000119F3" w:rsidRDefault="00333AC0" w:rsidP="00011A05">
      <w:pPr>
        <w:pStyle w:val="FSCh6Subsec"/>
        <w:ind w:left="0"/>
        <w:rPr>
          <w:b w:val="0"/>
          <w:sz w:val="22"/>
          <w:szCs w:val="22"/>
        </w:rPr>
      </w:pPr>
      <w:r>
        <w:rPr>
          <w:sz w:val="22"/>
          <w:szCs w:val="22"/>
        </w:rPr>
        <w:t>3.5.2.2</w:t>
      </w:r>
      <w:r>
        <w:rPr>
          <w:sz w:val="22"/>
          <w:szCs w:val="22"/>
        </w:rPr>
        <w:tab/>
        <w:t>Mendelian segregation</w:t>
      </w:r>
      <w:r w:rsidRPr="000119F3">
        <w:rPr>
          <w:sz w:val="22"/>
          <w:szCs w:val="22"/>
        </w:rPr>
        <w:t xml:space="preserve"> of inserted DNA</w:t>
      </w:r>
    </w:p>
    <w:p w14:paraId="206439E7" w14:textId="77777777" w:rsidR="00333AC0" w:rsidRDefault="00333AC0" w:rsidP="00011A05">
      <w:pPr>
        <w:rPr>
          <w:color w:val="000000" w:themeColor="text1"/>
          <w:szCs w:val="22"/>
        </w:rPr>
      </w:pPr>
    </w:p>
    <w:p w14:paraId="206439E8" w14:textId="77777777" w:rsidR="00333AC0" w:rsidRDefault="00333AC0" w:rsidP="00011A05">
      <w:pPr>
        <w:widowControl/>
        <w:autoSpaceDE w:val="0"/>
        <w:autoSpaceDN w:val="0"/>
        <w:adjustRightInd w:val="0"/>
        <w:rPr>
          <w:rFonts w:cs="Arial"/>
          <w:color w:val="000000" w:themeColor="text1"/>
          <w:szCs w:val="22"/>
          <w:lang w:eastAsia="en-GB" w:bidi="ar-SA"/>
        </w:rPr>
      </w:pPr>
      <w:r>
        <w:rPr>
          <w:color w:val="000000" w:themeColor="text1"/>
          <w:szCs w:val="22"/>
        </w:rPr>
        <w:t xml:space="preserve">Leaf tissue samples were collected from plants derived from seed of the </w:t>
      </w:r>
      <w:r>
        <w:rPr>
          <w:rFonts w:ascii="CharterBT-Roman" w:hAnsi="CharterBT-Roman" w:cs="CharterBT-Roman"/>
          <w:szCs w:val="22"/>
          <w:lang w:eastAsia="en-GB" w:bidi="ar-SA"/>
        </w:rPr>
        <w:t>BC</w:t>
      </w:r>
      <w:r>
        <w:rPr>
          <w:rFonts w:ascii="URWPalladioL-Roma" w:hAnsi="URWPalladioL-Roma" w:cs="URWPalladioL-Roma"/>
          <w:sz w:val="16"/>
          <w:szCs w:val="16"/>
          <w:lang w:eastAsia="en-GB" w:bidi="ar-SA"/>
        </w:rPr>
        <w:t>4</w:t>
      </w:r>
      <w:r>
        <w:rPr>
          <w:rFonts w:ascii="CharterBT-Roman" w:hAnsi="CharterBT-Roman" w:cs="CharterBT-Roman"/>
          <w:szCs w:val="22"/>
          <w:lang w:eastAsia="en-GB" w:bidi="ar-SA"/>
        </w:rPr>
        <w:t>F</w:t>
      </w:r>
      <w:r>
        <w:rPr>
          <w:rFonts w:ascii="URWPalladioL-Roma" w:hAnsi="URWPalladioL-Roma" w:cs="URWPalladioL-Roma"/>
          <w:sz w:val="16"/>
          <w:szCs w:val="16"/>
          <w:lang w:eastAsia="en-GB" w:bidi="ar-SA"/>
        </w:rPr>
        <w:t>2</w:t>
      </w:r>
      <w:r>
        <w:rPr>
          <w:rFonts w:ascii="CharterBT-Roman" w:hAnsi="CharterBT-Roman" w:cs="CharterBT-Roman"/>
          <w:szCs w:val="22"/>
          <w:lang w:eastAsia="en-GB" w:bidi="ar-SA"/>
        </w:rPr>
        <w:t>, BC</w:t>
      </w:r>
      <w:r>
        <w:rPr>
          <w:rFonts w:ascii="URWPalladioL-Roma" w:hAnsi="URWPalladioL-Roma" w:cs="URWPalladioL-Roma"/>
          <w:sz w:val="16"/>
          <w:szCs w:val="16"/>
          <w:lang w:eastAsia="en-GB" w:bidi="ar-SA"/>
        </w:rPr>
        <w:t>5</w:t>
      </w:r>
      <w:r>
        <w:rPr>
          <w:rFonts w:ascii="CharterBT-Roman" w:hAnsi="CharterBT-Roman" w:cs="CharterBT-Roman"/>
          <w:szCs w:val="22"/>
          <w:lang w:eastAsia="en-GB" w:bidi="ar-SA"/>
        </w:rPr>
        <w:t>F</w:t>
      </w:r>
      <w:r>
        <w:rPr>
          <w:rFonts w:ascii="URWPalladioL-Roma" w:hAnsi="URWPalladioL-Roma" w:cs="URWPalladioL-Roma"/>
          <w:sz w:val="16"/>
          <w:szCs w:val="16"/>
          <w:lang w:eastAsia="en-GB" w:bidi="ar-SA"/>
        </w:rPr>
        <w:t>1</w:t>
      </w:r>
      <w:r>
        <w:rPr>
          <w:rFonts w:ascii="CharterBT-Roman" w:hAnsi="CharterBT-Roman" w:cs="CharterBT-Roman"/>
          <w:szCs w:val="22"/>
          <w:lang w:eastAsia="en-GB" w:bidi="ar-SA"/>
        </w:rPr>
        <w:t xml:space="preserve">, and </w:t>
      </w:r>
      <w:r w:rsidRPr="00CB72B4">
        <w:rPr>
          <w:rFonts w:ascii="CharterBT-Roman" w:hAnsi="CharterBT-Roman" w:cs="CharterBT-Roman"/>
          <w:color w:val="000000" w:themeColor="text1"/>
          <w:szCs w:val="22"/>
          <w:lang w:eastAsia="en-GB" w:bidi="ar-SA"/>
        </w:rPr>
        <w:t>BC</w:t>
      </w:r>
      <w:r w:rsidRPr="00CB72B4">
        <w:rPr>
          <w:rFonts w:ascii="URWPalladioL-Roma" w:hAnsi="URWPalladioL-Roma" w:cs="URWPalladioL-Roma"/>
          <w:color w:val="000000" w:themeColor="text1"/>
          <w:sz w:val="16"/>
          <w:szCs w:val="16"/>
          <w:lang w:eastAsia="en-GB" w:bidi="ar-SA"/>
        </w:rPr>
        <w:t>5</w:t>
      </w:r>
      <w:r w:rsidRPr="00CB72B4">
        <w:rPr>
          <w:rFonts w:ascii="CharterBT-Roman" w:hAnsi="CharterBT-Roman" w:cs="CharterBT-Roman"/>
          <w:color w:val="000000" w:themeColor="text1"/>
          <w:szCs w:val="22"/>
          <w:lang w:eastAsia="en-GB" w:bidi="ar-SA"/>
        </w:rPr>
        <w:t>F</w:t>
      </w:r>
      <w:r w:rsidRPr="00CB72B4">
        <w:rPr>
          <w:rFonts w:ascii="URWPalladioL-Roma" w:hAnsi="URWPalladioL-Roma" w:cs="URWPalladioL-Roma"/>
          <w:color w:val="000000" w:themeColor="text1"/>
          <w:sz w:val="16"/>
          <w:szCs w:val="16"/>
          <w:lang w:eastAsia="en-GB" w:bidi="ar-SA"/>
        </w:rPr>
        <w:t xml:space="preserve">2 </w:t>
      </w:r>
      <w:r w:rsidRPr="00CB72B4">
        <w:rPr>
          <w:rFonts w:ascii="CharterBT-Roman" w:hAnsi="CharterBT-Roman" w:cs="CharterBT-Roman"/>
          <w:color w:val="000000" w:themeColor="text1"/>
          <w:szCs w:val="22"/>
          <w:lang w:eastAsia="en-GB" w:bidi="ar-SA"/>
        </w:rPr>
        <w:t xml:space="preserve">generations of three genetic backgrounds (Rc82, BR29 and IR64) </w:t>
      </w:r>
      <w:r w:rsidRPr="00B275D4">
        <w:rPr>
          <w:rFonts w:ascii="CharterBT-Roman" w:hAnsi="CharterBT-Roman" w:cs="CharterBT-Roman"/>
          <w:color w:val="000000" w:themeColor="text1"/>
          <w:szCs w:val="22"/>
          <w:lang w:eastAsia="en-GB" w:bidi="ar-SA"/>
        </w:rPr>
        <w:t xml:space="preserve">(Figure 4). Genomic DNA was isolated </w:t>
      </w:r>
      <w:r w:rsidRPr="00B275D4">
        <w:rPr>
          <w:rFonts w:cs="Arial"/>
          <w:color w:val="000000" w:themeColor="text1"/>
          <w:szCs w:val="22"/>
          <w:lang w:eastAsia="en-GB" w:bidi="ar-SA"/>
        </w:rPr>
        <w:t>and then analysed by multiplex PCR amplification (using three</w:t>
      </w:r>
      <w:r w:rsidRPr="00CB72B4">
        <w:rPr>
          <w:rFonts w:cs="Arial"/>
          <w:color w:val="000000" w:themeColor="text1"/>
          <w:szCs w:val="22"/>
          <w:lang w:eastAsia="en-GB" w:bidi="ar-SA"/>
        </w:rPr>
        <w:t xml:space="preserve"> primers</w:t>
      </w:r>
      <w:r>
        <w:rPr>
          <w:rFonts w:cs="Arial"/>
          <w:color w:val="000000" w:themeColor="text1"/>
          <w:szCs w:val="22"/>
          <w:lang w:eastAsia="en-GB" w:bidi="ar-SA"/>
        </w:rPr>
        <w:t xml:space="preserve"> – one forward and two reverse</w:t>
      </w:r>
      <w:r w:rsidRPr="00CB72B4">
        <w:rPr>
          <w:rFonts w:cs="Arial"/>
          <w:color w:val="000000" w:themeColor="text1"/>
          <w:szCs w:val="22"/>
          <w:lang w:eastAsia="en-GB" w:bidi="ar-SA"/>
        </w:rPr>
        <w:t>) to determine zygosity of the insert.</w:t>
      </w:r>
      <w:r w:rsidRPr="00CB72B4">
        <w:rPr>
          <w:rFonts w:eastAsia="Batang" w:cs="Arial"/>
          <w:bCs/>
          <w:i/>
          <w:color w:val="000000" w:themeColor="text1"/>
          <w:szCs w:val="22"/>
        </w:rPr>
        <w:t xml:space="preserve"> </w:t>
      </w:r>
      <w:r w:rsidRPr="00CB72B4">
        <w:rPr>
          <w:rFonts w:cs="Arial"/>
          <w:color w:val="000000" w:themeColor="text1"/>
          <w:szCs w:val="22"/>
          <w:lang w:eastAsia="en-GB" w:bidi="ar-SA"/>
        </w:rPr>
        <w:t xml:space="preserve">Two primers were complementary to sequences in the </w:t>
      </w:r>
      <w:r>
        <w:rPr>
          <w:rFonts w:cs="Arial"/>
          <w:color w:val="000000" w:themeColor="text1"/>
          <w:szCs w:val="22"/>
          <w:lang w:eastAsia="en-GB" w:bidi="ar-SA"/>
        </w:rPr>
        <w:t>5’ and 3’</w:t>
      </w:r>
      <w:r w:rsidRPr="00CB72B4">
        <w:rPr>
          <w:rFonts w:cs="Arial"/>
          <w:color w:val="000000" w:themeColor="text1"/>
          <w:szCs w:val="22"/>
          <w:lang w:eastAsia="en-GB" w:bidi="ar-SA"/>
        </w:rPr>
        <w:t xml:space="preserve"> flanking host genomic regions</w:t>
      </w:r>
      <w:r>
        <w:rPr>
          <w:rFonts w:cs="Arial"/>
          <w:color w:val="000000" w:themeColor="text1"/>
          <w:szCs w:val="22"/>
          <w:lang w:eastAsia="en-GB" w:bidi="ar-SA"/>
        </w:rPr>
        <w:t xml:space="preserve"> close to the Right and Left borders</w:t>
      </w:r>
      <w:r w:rsidRPr="00CB72B4">
        <w:rPr>
          <w:rFonts w:cs="Arial"/>
          <w:color w:val="000000" w:themeColor="text1"/>
          <w:szCs w:val="22"/>
          <w:lang w:eastAsia="en-GB" w:bidi="ar-SA"/>
        </w:rPr>
        <w:t xml:space="preserve">, and the third primer was complementary to </w:t>
      </w:r>
      <w:r w:rsidRPr="00DD2A6C">
        <w:rPr>
          <w:rFonts w:cs="Arial"/>
          <w:i/>
          <w:color w:val="000000" w:themeColor="text1"/>
          <w:szCs w:val="22"/>
          <w:lang w:eastAsia="en-GB" w:bidi="ar-SA"/>
        </w:rPr>
        <w:t>pmi</w:t>
      </w:r>
      <w:r w:rsidRPr="00CB72B4">
        <w:rPr>
          <w:rFonts w:cs="Arial"/>
          <w:color w:val="000000" w:themeColor="text1"/>
          <w:szCs w:val="22"/>
          <w:lang w:eastAsia="en-GB" w:bidi="ar-SA"/>
        </w:rPr>
        <w:t xml:space="preserve"> gene sequ</w:t>
      </w:r>
      <w:r>
        <w:rPr>
          <w:rFonts w:cs="Arial"/>
          <w:color w:val="000000" w:themeColor="text1"/>
          <w:szCs w:val="22"/>
          <w:lang w:eastAsia="en-GB" w:bidi="ar-SA"/>
        </w:rPr>
        <w:t xml:space="preserve">ences within the inserted T-DNA </w:t>
      </w:r>
      <w:r w:rsidRPr="00B275D4">
        <w:rPr>
          <w:rFonts w:cs="Arial"/>
          <w:color w:val="000000" w:themeColor="text1"/>
          <w:szCs w:val="22"/>
          <w:lang w:eastAsia="en-GB" w:bidi="ar-SA"/>
        </w:rPr>
        <w:t>(Figure 6).</w:t>
      </w:r>
    </w:p>
    <w:p w14:paraId="206439E9" w14:textId="77777777" w:rsidR="00333AC0" w:rsidRDefault="00333AC0" w:rsidP="00011A05">
      <w:pPr>
        <w:widowControl/>
        <w:autoSpaceDE w:val="0"/>
        <w:autoSpaceDN w:val="0"/>
        <w:adjustRightInd w:val="0"/>
        <w:rPr>
          <w:rFonts w:cs="Arial"/>
          <w:color w:val="000000" w:themeColor="text1"/>
          <w:szCs w:val="22"/>
          <w:lang w:eastAsia="en-GB" w:bidi="ar-SA"/>
        </w:rPr>
      </w:pPr>
    </w:p>
    <w:p w14:paraId="206439EA" w14:textId="77777777" w:rsidR="00333AC0" w:rsidRDefault="00333AC0" w:rsidP="00011A05">
      <w:pPr>
        <w:keepNext/>
        <w:widowControl/>
        <w:autoSpaceDE w:val="0"/>
        <w:autoSpaceDN w:val="0"/>
        <w:adjustRightInd w:val="0"/>
        <w:jc w:val="center"/>
      </w:pPr>
      <w:r>
        <w:rPr>
          <w:noProof/>
          <w:lang w:eastAsia="en-GB" w:bidi="ar-SA"/>
        </w:rPr>
        <w:drawing>
          <wp:inline distT="0" distB="0" distL="0" distR="0" wp14:anchorId="20643F22" wp14:editId="266BDB36">
            <wp:extent cx="4829175" cy="2985308"/>
            <wp:effectExtent l="0" t="0" r="0" b="5715"/>
            <wp:docPr id="5" name="Picture 5" title="Figure 6: Representation of location of primers for multiplex PCR analysis and the three outcomes that could be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9621" cy="2991766"/>
                    </a:xfrm>
                    <a:prstGeom prst="rect">
                      <a:avLst/>
                    </a:prstGeom>
                    <a:noFill/>
                    <a:ln>
                      <a:noFill/>
                    </a:ln>
                  </pic:spPr>
                </pic:pic>
              </a:graphicData>
            </a:graphic>
          </wp:inline>
        </w:drawing>
      </w:r>
    </w:p>
    <w:p w14:paraId="206439EB" w14:textId="77777777" w:rsidR="00333AC0" w:rsidRDefault="00333AC0" w:rsidP="00011A05">
      <w:pPr>
        <w:pStyle w:val="FSFigureTitle"/>
        <w:rPr>
          <w:color w:val="000000" w:themeColor="text1"/>
          <w:szCs w:val="22"/>
          <w:lang w:eastAsia="en-GB" w:bidi="ar-SA"/>
        </w:rPr>
      </w:pPr>
      <w:bookmarkStart w:id="33" w:name="_Toc470008744"/>
      <w:r>
        <w:t xml:space="preserve">Figure </w:t>
      </w:r>
      <w:r>
        <w:fldChar w:fldCharType="begin"/>
      </w:r>
      <w:r>
        <w:instrText xml:space="preserve"> SEQ Figure \* ARABIC </w:instrText>
      </w:r>
      <w:r>
        <w:fldChar w:fldCharType="separate"/>
      </w:r>
      <w:r w:rsidR="00286242">
        <w:rPr>
          <w:noProof/>
        </w:rPr>
        <w:t>6</w:t>
      </w:r>
      <w:r>
        <w:rPr>
          <w:noProof/>
        </w:rPr>
        <w:fldChar w:fldCharType="end"/>
      </w:r>
      <w:r>
        <w:t>: Representation of location of primers for multiplex PCR analysis and the three outcomes that could be obtained</w:t>
      </w:r>
      <w:bookmarkEnd w:id="33"/>
    </w:p>
    <w:p w14:paraId="206439EC" w14:textId="77777777" w:rsidR="00333AC0" w:rsidRDefault="00333AC0" w:rsidP="00011A05">
      <w:pPr>
        <w:widowControl/>
        <w:autoSpaceDE w:val="0"/>
        <w:autoSpaceDN w:val="0"/>
        <w:adjustRightInd w:val="0"/>
        <w:rPr>
          <w:rFonts w:cs="Arial"/>
          <w:color w:val="000000" w:themeColor="text1"/>
          <w:szCs w:val="22"/>
          <w:lang w:eastAsia="en-GB" w:bidi="ar-SA"/>
        </w:rPr>
      </w:pPr>
    </w:p>
    <w:p w14:paraId="206439ED" w14:textId="77777777" w:rsidR="00333AC0" w:rsidRPr="00CB72B4" w:rsidRDefault="00333AC0" w:rsidP="00011A05">
      <w:pPr>
        <w:widowControl/>
        <w:autoSpaceDE w:val="0"/>
        <w:autoSpaceDN w:val="0"/>
        <w:adjustRightInd w:val="0"/>
        <w:rPr>
          <w:rFonts w:ascii="FiraSans-Book" w:hAnsi="FiraSans-Book" w:cs="FiraSans-Book"/>
          <w:color w:val="000000" w:themeColor="text1"/>
          <w:szCs w:val="22"/>
          <w:lang w:eastAsia="en-GB" w:bidi="ar-SA"/>
        </w:rPr>
      </w:pPr>
      <w:r>
        <w:rPr>
          <w:rFonts w:cs="Arial"/>
          <w:color w:val="000000" w:themeColor="text1"/>
          <w:szCs w:val="22"/>
          <w:lang w:eastAsia="en-GB" w:bidi="ar-SA"/>
        </w:rPr>
        <w:t xml:space="preserve">In this analysis, since the Southern blots </w:t>
      </w:r>
      <w:r w:rsidRPr="00B275D4">
        <w:rPr>
          <w:rFonts w:cs="Arial"/>
          <w:color w:val="000000" w:themeColor="text1"/>
          <w:szCs w:val="22"/>
          <w:lang w:eastAsia="en-GB" w:bidi="ar-SA"/>
        </w:rPr>
        <w:t>(Section 3.4.1)</w:t>
      </w:r>
      <w:r>
        <w:rPr>
          <w:rFonts w:cs="Arial"/>
          <w:color w:val="000000" w:themeColor="text1"/>
          <w:szCs w:val="22"/>
          <w:lang w:eastAsia="en-GB" w:bidi="ar-SA"/>
        </w:rPr>
        <w:t xml:space="preserve"> have indicated an </w:t>
      </w:r>
      <w:r w:rsidRPr="00607411">
        <w:rPr>
          <w:rFonts w:cs="Arial"/>
          <w:color w:val="000000" w:themeColor="text1"/>
          <w:szCs w:val="22"/>
          <w:u w:val="single"/>
          <w:lang w:eastAsia="en-GB" w:bidi="ar-SA"/>
        </w:rPr>
        <w:t>intact</w:t>
      </w:r>
      <w:r>
        <w:rPr>
          <w:rFonts w:cs="Arial"/>
          <w:color w:val="000000" w:themeColor="text1"/>
          <w:szCs w:val="22"/>
          <w:lang w:eastAsia="en-GB" w:bidi="ar-SA"/>
        </w:rPr>
        <w:t xml:space="preserve"> insert has gone in to the GR2E event, if the insert is absent (azygous or null segregant) the product resulting from primers P2 and P3 will be very small (315 bp). If the insert is present the design of primers P2 and P1 is such that a larger product (617 bp) will be amplified either in the homozygous state (2 copies/chromosome – a single heavy band of 617 bp) or the hemizygous state (1 copy per chromosome – a single fainter band at 617 bp plus a single band at 315 bp). In scoring the results it is only absence or presence of the insert that is relevant.</w:t>
      </w:r>
    </w:p>
    <w:p w14:paraId="206439EE" w14:textId="77777777" w:rsidR="00333AC0" w:rsidRPr="00CB72B4" w:rsidRDefault="00333AC0" w:rsidP="00011A05">
      <w:pPr>
        <w:rPr>
          <w:color w:val="000000" w:themeColor="text1"/>
          <w:szCs w:val="22"/>
        </w:rPr>
      </w:pPr>
    </w:p>
    <w:p w14:paraId="206439EF" w14:textId="77777777" w:rsidR="00333AC0" w:rsidRPr="0052259D" w:rsidRDefault="00333AC0" w:rsidP="00011A05">
      <w:pPr>
        <w:rPr>
          <w:color w:val="000000" w:themeColor="text1"/>
          <w:szCs w:val="22"/>
        </w:rPr>
      </w:pPr>
      <w:r>
        <w:rPr>
          <w:color w:val="000000" w:themeColor="text1"/>
          <w:szCs w:val="22"/>
        </w:rPr>
        <w:t>The results of presence/absence of the insert are</w:t>
      </w:r>
      <w:r w:rsidRPr="00CB72B4">
        <w:rPr>
          <w:color w:val="000000" w:themeColor="text1"/>
          <w:szCs w:val="22"/>
        </w:rPr>
        <w:t xml:space="preserve"> shown </w:t>
      </w:r>
      <w:r w:rsidRPr="00B275D4">
        <w:rPr>
          <w:color w:val="000000" w:themeColor="text1"/>
          <w:szCs w:val="22"/>
        </w:rPr>
        <w:t>in Table 4. The chi-</w:t>
      </w:r>
      <w:r w:rsidRPr="00CB72B4">
        <w:rPr>
          <w:color w:val="000000" w:themeColor="text1"/>
          <w:szCs w:val="22"/>
        </w:rPr>
        <w:t>square (</w:t>
      </w:r>
      <w:r w:rsidRPr="00CB72B4">
        <w:rPr>
          <w:rFonts w:cs="Arial"/>
          <w:color w:val="000000" w:themeColor="text1"/>
          <w:szCs w:val="22"/>
          <w:lang w:eastAsia="en-GB"/>
        </w:rPr>
        <w:t>Χ</w:t>
      </w:r>
      <w:r w:rsidRPr="00CB72B4">
        <w:rPr>
          <w:rFonts w:cs="Arial"/>
          <w:color w:val="000000" w:themeColor="text1"/>
          <w:szCs w:val="22"/>
          <w:vertAlign w:val="superscript"/>
          <w:lang w:eastAsia="en-GB"/>
        </w:rPr>
        <w:t>2</w:t>
      </w:r>
      <w:r w:rsidRPr="00CB72B4">
        <w:rPr>
          <w:rFonts w:cs="Arial"/>
          <w:color w:val="000000" w:themeColor="text1"/>
          <w:szCs w:val="22"/>
          <w:lang w:eastAsia="en-GB"/>
        </w:rPr>
        <w:t xml:space="preserve">) </w:t>
      </w:r>
      <w:r w:rsidRPr="00CB72B4">
        <w:rPr>
          <w:color w:val="000000" w:themeColor="text1"/>
          <w:szCs w:val="22"/>
        </w:rPr>
        <w:t xml:space="preserve">critical value at significance level </w:t>
      </w:r>
      <w:r w:rsidRPr="00CB72B4">
        <w:rPr>
          <w:rFonts w:cs="Arial"/>
          <w:color w:val="000000" w:themeColor="text1"/>
          <w:szCs w:val="22"/>
        </w:rPr>
        <w:t>α</w:t>
      </w:r>
      <w:r w:rsidRPr="00CB72B4">
        <w:rPr>
          <w:color w:val="000000" w:themeColor="text1"/>
          <w:szCs w:val="22"/>
        </w:rPr>
        <w:t xml:space="preserve"> = 0.05 is 3.84 i.e. if the </w:t>
      </w:r>
      <w:r w:rsidRPr="00CB72B4">
        <w:rPr>
          <w:rFonts w:cs="Arial"/>
          <w:color w:val="000000" w:themeColor="text1"/>
          <w:szCs w:val="22"/>
          <w:lang w:eastAsia="en-GB"/>
        </w:rPr>
        <w:t>Χ</w:t>
      </w:r>
      <w:r w:rsidRPr="00CB72B4">
        <w:rPr>
          <w:rFonts w:cs="Arial"/>
          <w:color w:val="000000" w:themeColor="text1"/>
          <w:szCs w:val="22"/>
          <w:vertAlign w:val="superscript"/>
          <w:lang w:eastAsia="en-GB"/>
        </w:rPr>
        <w:t>2</w:t>
      </w:r>
      <w:r w:rsidRPr="00CB72B4">
        <w:rPr>
          <w:rFonts w:cs="Arial"/>
          <w:color w:val="000000" w:themeColor="text1"/>
          <w:szCs w:val="22"/>
          <w:lang w:eastAsia="en-GB"/>
        </w:rPr>
        <w:t xml:space="preserve"> value is ˂ 3.84 the observed ratio is not significantly different from the expected ratio. The Χ</w:t>
      </w:r>
      <w:r w:rsidRPr="00CB72B4">
        <w:rPr>
          <w:rFonts w:cs="Arial"/>
          <w:color w:val="000000" w:themeColor="text1"/>
          <w:szCs w:val="22"/>
          <w:vertAlign w:val="superscript"/>
          <w:lang w:eastAsia="en-GB"/>
        </w:rPr>
        <w:t xml:space="preserve">2 </w:t>
      </w:r>
      <w:r w:rsidRPr="00CB72B4">
        <w:rPr>
          <w:rFonts w:cs="Arial"/>
          <w:color w:val="000000" w:themeColor="text1"/>
          <w:szCs w:val="22"/>
          <w:lang w:eastAsia="en-GB"/>
        </w:rPr>
        <w:t xml:space="preserve">values for all generations were less than 3.84 thereby indicating </w:t>
      </w:r>
      <w:r w:rsidRPr="0052259D">
        <w:rPr>
          <w:rFonts w:cs="Arial"/>
          <w:color w:val="000000" w:themeColor="text1"/>
          <w:szCs w:val="22"/>
          <w:lang w:eastAsia="en-GB"/>
        </w:rPr>
        <w:t>that the insert in each genetic background was inherited according to Mendelian principles.</w:t>
      </w:r>
    </w:p>
    <w:p w14:paraId="206439F0" w14:textId="77777777" w:rsidR="00333AC0" w:rsidRPr="0052259D" w:rsidRDefault="00333AC0" w:rsidP="00011A05">
      <w:pPr>
        <w:rPr>
          <w:color w:val="000000" w:themeColor="text1"/>
          <w:szCs w:val="22"/>
        </w:rPr>
      </w:pPr>
    </w:p>
    <w:p w14:paraId="206439F1" w14:textId="77777777" w:rsidR="00333AC0" w:rsidRPr="0052259D" w:rsidRDefault="00333AC0" w:rsidP="00011A05">
      <w:pPr>
        <w:pStyle w:val="Caption"/>
        <w:keepNext/>
        <w:rPr>
          <w:rFonts w:cs="Arial"/>
          <w:color w:val="000000" w:themeColor="text1"/>
          <w:sz w:val="22"/>
          <w:szCs w:val="22"/>
        </w:rPr>
      </w:pPr>
      <w:bookmarkStart w:id="34" w:name="_Toc417973324"/>
      <w:bookmarkStart w:id="35" w:name="_Toc421180543"/>
      <w:bookmarkStart w:id="36" w:name="_Toc426464987"/>
      <w:bookmarkStart w:id="37" w:name="_Toc468350346"/>
      <w:bookmarkStart w:id="38" w:name="_Toc487212003"/>
      <w:r w:rsidRPr="0052259D">
        <w:rPr>
          <w:rFonts w:cs="Arial"/>
          <w:color w:val="000000" w:themeColor="text1"/>
          <w:sz w:val="22"/>
          <w:szCs w:val="22"/>
        </w:rPr>
        <w:t xml:space="preserve">Table </w:t>
      </w:r>
      <w:r w:rsidRPr="0052259D">
        <w:rPr>
          <w:rFonts w:cs="Arial"/>
          <w:color w:val="000000" w:themeColor="text1"/>
          <w:sz w:val="22"/>
          <w:szCs w:val="22"/>
        </w:rPr>
        <w:fldChar w:fldCharType="begin"/>
      </w:r>
      <w:r w:rsidRPr="0052259D">
        <w:rPr>
          <w:rFonts w:cs="Arial"/>
          <w:color w:val="000000" w:themeColor="text1"/>
          <w:sz w:val="22"/>
          <w:szCs w:val="22"/>
        </w:rPr>
        <w:instrText xml:space="preserve"> SEQ Table \* ARABIC </w:instrText>
      </w:r>
      <w:r w:rsidRPr="0052259D">
        <w:rPr>
          <w:rFonts w:cs="Arial"/>
          <w:color w:val="000000" w:themeColor="text1"/>
          <w:sz w:val="22"/>
          <w:szCs w:val="22"/>
        </w:rPr>
        <w:fldChar w:fldCharType="separate"/>
      </w:r>
      <w:r w:rsidR="00286242">
        <w:rPr>
          <w:rFonts w:cs="Arial"/>
          <w:noProof/>
          <w:color w:val="000000" w:themeColor="text1"/>
          <w:sz w:val="22"/>
          <w:szCs w:val="22"/>
        </w:rPr>
        <w:t>4</w:t>
      </w:r>
      <w:r w:rsidRPr="0052259D">
        <w:rPr>
          <w:rFonts w:cs="Arial"/>
          <w:color w:val="000000" w:themeColor="text1"/>
          <w:sz w:val="22"/>
          <w:szCs w:val="22"/>
        </w:rPr>
        <w:fldChar w:fldCharType="end"/>
      </w:r>
      <w:r w:rsidRPr="0052259D">
        <w:rPr>
          <w:rFonts w:cs="Arial"/>
          <w:color w:val="000000" w:themeColor="text1"/>
          <w:sz w:val="22"/>
          <w:szCs w:val="22"/>
        </w:rPr>
        <w:t>: Segregation of the T-DNA insert over three generations</w:t>
      </w:r>
      <w:bookmarkEnd w:id="34"/>
      <w:bookmarkEnd w:id="35"/>
      <w:bookmarkEnd w:id="36"/>
      <w:r w:rsidRPr="0052259D">
        <w:rPr>
          <w:rFonts w:cs="Arial"/>
          <w:color w:val="000000" w:themeColor="text1"/>
          <w:sz w:val="22"/>
          <w:szCs w:val="22"/>
        </w:rPr>
        <w:t xml:space="preserve"> and backgrounds</w:t>
      </w:r>
      <w:bookmarkEnd w:id="37"/>
      <w:bookmarkEnd w:id="38"/>
    </w:p>
    <w:p w14:paraId="206439F2" w14:textId="77777777" w:rsidR="00333AC0" w:rsidRPr="0052259D" w:rsidRDefault="00333AC0" w:rsidP="00011A05">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Segregation of the T-DNA insert over three generations and backgrounds"/>
      </w:tblPr>
      <w:tblGrid>
        <w:gridCol w:w="2495"/>
        <w:gridCol w:w="936"/>
        <w:gridCol w:w="1732"/>
        <w:gridCol w:w="1395"/>
        <w:gridCol w:w="967"/>
        <w:gridCol w:w="1761"/>
      </w:tblGrid>
      <w:tr w:rsidR="00333AC0" w:rsidRPr="002266FB" w14:paraId="206439F8" w14:textId="77777777" w:rsidTr="00011A05">
        <w:trPr>
          <w:trHeight w:val="397"/>
          <w:jc w:val="center"/>
        </w:trPr>
        <w:tc>
          <w:tcPr>
            <w:tcW w:w="1632" w:type="dxa"/>
            <w:vMerge w:val="restart"/>
            <w:shd w:val="clear" w:color="auto" w:fill="9BBB59" w:themeFill="accent3"/>
            <w:vAlign w:val="center"/>
          </w:tcPr>
          <w:p w14:paraId="206439F3" w14:textId="77777777" w:rsidR="00333AC0" w:rsidRPr="00450F55" w:rsidRDefault="00333AC0" w:rsidP="00011A05">
            <w:pPr>
              <w:autoSpaceDE w:val="0"/>
              <w:autoSpaceDN w:val="0"/>
              <w:adjustRightInd w:val="0"/>
              <w:jc w:val="center"/>
              <w:rPr>
                <w:rFonts w:cs="Arial"/>
                <w:b/>
                <w:color w:val="FFFFFF" w:themeColor="background1"/>
                <w:sz w:val="20"/>
                <w:szCs w:val="20"/>
                <w:lang w:eastAsia="en-GB"/>
              </w:rPr>
            </w:pPr>
            <w:r w:rsidRPr="00450F55">
              <w:rPr>
                <w:rFonts w:cs="Arial"/>
                <w:b/>
                <w:color w:val="FFFFFF" w:themeColor="background1"/>
                <w:sz w:val="20"/>
                <w:szCs w:val="20"/>
                <w:lang w:eastAsia="en-GB"/>
              </w:rPr>
              <w:t>Generation</w:t>
            </w:r>
            <w:r>
              <w:rPr>
                <w:rFonts w:cs="Arial"/>
                <w:b/>
                <w:color w:val="FFFFFF" w:themeColor="background1"/>
                <w:sz w:val="20"/>
                <w:szCs w:val="20"/>
                <w:lang w:eastAsia="en-GB"/>
              </w:rPr>
              <w:t>/Background</w:t>
            </w:r>
          </w:p>
        </w:tc>
        <w:tc>
          <w:tcPr>
            <w:tcW w:w="1003" w:type="dxa"/>
            <w:vMerge w:val="restart"/>
            <w:shd w:val="clear" w:color="auto" w:fill="9BBB59" w:themeFill="accent3"/>
            <w:vAlign w:val="center"/>
          </w:tcPr>
          <w:p w14:paraId="206439F4" w14:textId="77777777" w:rsidR="00333AC0" w:rsidRPr="00450F55" w:rsidRDefault="00333AC0" w:rsidP="00011A05">
            <w:pPr>
              <w:autoSpaceDE w:val="0"/>
              <w:autoSpaceDN w:val="0"/>
              <w:adjustRightInd w:val="0"/>
              <w:jc w:val="center"/>
              <w:rPr>
                <w:rFonts w:cs="Arial"/>
                <w:b/>
                <w:color w:val="FFFFFF" w:themeColor="background1"/>
                <w:sz w:val="20"/>
                <w:szCs w:val="20"/>
                <w:lang w:eastAsia="en-GB"/>
              </w:rPr>
            </w:pPr>
            <w:r w:rsidRPr="00450F55">
              <w:rPr>
                <w:rFonts w:cs="Arial"/>
                <w:b/>
                <w:color w:val="FFFFFF" w:themeColor="background1"/>
                <w:sz w:val="20"/>
                <w:szCs w:val="20"/>
                <w:lang w:eastAsia="en-GB"/>
              </w:rPr>
              <w:t>Total plants</w:t>
            </w:r>
          </w:p>
        </w:tc>
        <w:tc>
          <w:tcPr>
            <w:tcW w:w="3520" w:type="dxa"/>
            <w:gridSpan w:val="2"/>
            <w:shd w:val="clear" w:color="auto" w:fill="9BBB59" w:themeFill="accent3"/>
            <w:vAlign w:val="center"/>
          </w:tcPr>
          <w:p w14:paraId="206439F5" w14:textId="77777777" w:rsidR="00333AC0" w:rsidRPr="00450F55" w:rsidRDefault="00333AC0" w:rsidP="00011A05">
            <w:pPr>
              <w:autoSpaceDE w:val="0"/>
              <w:autoSpaceDN w:val="0"/>
              <w:adjustRightInd w:val="0"/>
              <w:jc w:val="center"/>
              <w:rPr>
                <w:rFonts w:cs="Arial"/>
                <w:b/>
                <w:color w:val="FFFFFF" w:themeColor="background1"/>
                <w:sz w:val="20"/>
                <w:szCs w:val="20"/>
                <w:vertAlign w:val="superscript"/>
                <w:lang w:eastAsia="en-GB"/>
              </w:rPr>
            </w:pPr>
            <w:r w:rsidRPr="00450F55">
              <w:rPr>
                <w:rFonts w:cs="Arial"/>
                <w:b/>
                <w:color w:val="FFFFFF" w:themeColor="background1"/>
                <w:sz w:val="20"/>
                <w:szCs w:val="20"/>
                <w:lang w:eastAsia="en-GB"/>
              </w:rPr>
              <w:t>Ratio</w:t>
            </w:r>
            <w:r w:rsidRPr="00450F55">
              <w:rPr>
                <w:rFonts w:cs="Arial"/>
                <w:b/>
                <w:color w:val="FFFFFF" w:themeColor="background1"/>
                <w:sz w:val="20"/>
                <w:szCs w:val="20"/>
                <w:vertAlign w:val="superscript"/>
                <w:lang w:eastAsia="en-GB"/>
              </w:rPr>
              <w:t xml:space="preserve"> </w:t>
            </w:r>
            <w:r>
              <w:rPr>
                <w:rFonts w:cs="Arial"/>
                <w:b/>
                <w:color w:val="00B050"/>
                <w:sz w:val="20"/>
                <w:szCs w:val="20"/>
                <w:lang w:eastAsia="en-GB"/>
              </w:rPr>
              <w:t>presence</w:t>
            </w:r>
            <w:r w:rsidRPr="00450F55">
              <w:rPr>
                <w:rFonts w:cs="Arial"/>
                <w:b/>
                <w:color w:val="FFFFFF" w:themeColor="background1"/>
                <w:sz w:val="20"/>
                <w:szCs w:val="20"/>
                <w:lang w:eastAsia="en-GB"/>
              </w:rPr>
              <w:t>:</w:t>
            </w:r>
            <w:r>
              <w:rPr>
                <w:rFonts w:cs="Arial"/>
                <w:b/>
                <w:color w:val="FF0000"/>
                <w:sz w:val="20"/>
                <w:szCs w:val="20"/>
                <w:lang w:eastAsia="en-GB"/>
              </w:rPr>
              <w:t>absence</w:t>
            </w:r>
          </w:p>
        </w:tc>
        <w:tc>
          <w:tcPr>
            <w:tcW w:w="1095" w:type="dxa"/>
            <w:vMerge w:val="restart"/>
            <w:shd w:val="clear" w:color="auto" w:fill="9BBB59" w:themeFill="accent3"/>
            <w:vAlign w:val="center"/>
          </w:tcPr>
          <w:p w14:paraId="206439F6" w14:textId="77777777" w:rsidR="00333AC0" w:rsidRPr="00450F55" w:rsidRDefault="00333AC0" w:rsidP="00011A05">
            <w:pPr>
              <w:autoSpaceDE w:val="0"/>
              <w:autoSpaceDN w:val="0"/>
              <w:adjustRightInd w:val="0"/>
              <w:jc w:val="center"/>
              <w:rPr>
                <w:rFonts w:cs="Arial"/>
                <w:b/>
                <w:color w:val="FFFFFF" w:themeColor="background1"/>
                <w:sz w:val="20"/>
                <w:szCs w:val="20"/>
                <w:vertAlign w:val="superscript"/>
                <w:lang w:eastAsia="en-GB"/>
              </w:rPr>
            </w:pPr>
            <w:r w:rsidRPr="00450F55">
              <w:rPr>
                <w:rFonts w:cs="Arial"/>
                <w:b/>
                <w:color w:val="FFFFFF" w:themeColor="background1"/>
                <w:sz w:val="20"/>
                <w:szCs w:val="20"/>
                <w:lang w:eastAsia="en-GB"/>
              </w:rPr>
              <w:t>Χ</w:t>
            </w:r>
            <w:r w:rsidRPr="00450F55">
              <w:rPr>
                <w:rFonts w:cs="Arial"/>
                <w:b/>
                <w:color w:val="FFFFFF" w:themeColor="background1"/>
                <w:sz w:val="20"/>
                <w:szCs w:val="20"/>
                <w:vertAlign w:val="superscript"/>
                <w:lang w:eastAsia="en-GB"/>
              </w:rPr>
              <w:t>2</w:t>
            </w:r>
          </w:p>
        </w:tc>
        <w:tc>
          <w:tcPr>
            <w:tcW w:w="1985" w:type="dxa"/>
            <w:vMerge w:val="restart"/>
            <w:shd w:val="clear" w:color="auto" w:fill="9BBB59" w:themeFill="accent3"/>
            <w:vAlign w:val="center"/>
          </w:tcPr>
          <w:p w14:paraId="206439F7" w14:textId="77777777" w:rsidR="00333AC0" w:rsidRPr="00450F55" w:rsidRDefault="00333AC0" w:rsidP="00011A05">
            <w:pPr>
              <w:autoSpaceDE w:val="0"/>
              <w:autoSpaceDN w:val="0"/>
              <w:adjustRightInd w:val="0"/>
              <w:jc w:val="center"/>
              <w:rPr>
                <w:rFonts w:cs="Arial"/>
                <w:b/>
                <w:color w:val="FFFFFF" w:themeColor="background1"/>
                <w:sz w:val="20"/>
                <w:szCs w:val="20"/>
                <w:vertAlign w:val="superscript"/>
                <w:lang w:eastAsia="en-GB"/>
              </w:rPr>
            </w:pPr>
            <w:r w:rsidRPr="00450F55">
              <w:rPr>
                <w:rFonts w:cs="Arial"/>
                <w:b/>
                <w:color w:val="FFFFFF" w:themeColor="background1"/>
                <w:sz w:val="20"/>
                <w:szCs w:val="20"/>
                <w:lang w:eastAsia="en-GB"/>
              </w:rPr>
              <w:t>Probability</w:t>
            </w:r>
            <w:r w:rsidRPr="00450F55">
              <w:rPr>
                <w:rFonts w:cs="Arial"/>
                <w:b/>
                <w:color w:val="FFFFFF" w:themeColor="background1"/>
                <w:sz w:val="20"/>
                <w:szCs w:val="20"/>
                <w:vertAlign w:val="superscript"/>
                <w:lang w:eastAsia="en-GB"/>
              </w:rPr>
              <w:t>1</w:t>
            </w:r>
          </w:p>
        </w:tc>
      </w:tr>
      <w:tr w:rsidR="00333AC0" w:rsidRPr="002266FB" w14:paraId="206439FF" w14:textId="77777777" w:rsidTr="00011A05">
        <w:trPr>
          <w:trHeight w:val="397"/>
          <w:jc w:val="center"/>
        </w:trPr>
        <w:tc>
          <w:tcPr>
            <w:tcW w:w="1632" w:type="dxa"/>
            <w:vMerge/>
            <w:shd w:val="clear" w:color="auto" w:fill="DBE5F1" w:themeFill="accent1" w:themeFillTint="33"/>
            <w:vAlign w:val="center"/>
          </w:tcPr>
          <w:p w14:paraId="206439F9" w14:textId="77777777" w:rsidR="00333AC0" w:rsidRPr="002266FB" w:rsidRDefault="00333AC0" w:rsidP="00011A05">
            <w:pPr>
              <w:autoSpaceDE w:val="0"/>
              <w:autoSpaceDN w:val="0"/>
              <w:adjustRightInd w:val="0"/>
              <w:jc w:val="center"/>
              <w:rPr>
                <w:rFonts w:cs="Arial"/>
                <w:color w:val="000000" w:themeColor="text1"/>
                <w:sz w:val="20"/>
                <w:szCs w:val="20"/>
                <w:lang w:eastAsia="en-GB"/>
              </w:rPr>
            </w:pPr>
          </w:p>
        </w:tc>
        <w:tc>
          <w:tcPr>
            <w:tcW w:w="1003" w:type="dxa"/>
            <w:vMerge/>
            <w:shd w:val="clear" w:color="auto" w:fill="DBE5F1" w:themeFill="accent1" w:themeFillTint="33"/>
            <w:vAlign w:val="center"/>
          </w:tcPr>
          <w:p w14:paraId="206439FA" w14:textId="77777777" w:rsidR="00333AC0" w:rsidRPr="002266FB" w:rsidRDefault="00333AC0" w:rsidP="00011A05">
            <w:pPr>
              <w:autoSpaceDE w:val="0"/>
              <w:autoSpaceDN w:val="0"/>
              <w:adjustRightInd w:val="0"/>
              <w:jc w:val="center"/>
              <w:rPr>
                <w:rFonts w:cs="Arial"/>
                <w:color w:val="000000" w:themeColor="text1"/>
                <w:sz w:val="20"/>
                <w:szCs w:val="20"/>
                <w:lang w:eastAsia="en-GB"/>
              </w:rPr>
            </w:pPr>
          </w:p>
        </w:tc>
        <w:tc>
          <w:tcPr>
            <w:tcW w:w="2063" w:type="dxa"/>
            <w:shd w:val="clear" w:color="auto" w:fill="9BBB59" w:themeFill="accent3"/>
            <w:vAlign w:val="center"/>
          </w:tcPr>
          <w:p w14:paraId="206439FB" w14:textId="77777777" w:rsidR="00333AC0" w:rsidRPr="00450F55" w:rsidRDefault="00333AC0" w:rsidP="00011A05">
            <w:pPr>
              <w:autoSpaceDE w:val="0"/>
              <w:autoSpaceDN w:val="0"/>
              <w:adjustRightInd w:val="0"/>
              <w:jc w:val="center"/>
              <w:rPr>
                <w:rFonts w:cs="Arial"/>
                <w:color w:val="FFFFFF" w:themeColor="background1"/>
                <w:sz w:val="20"/>
                <w:szCs w:val="20"/>
                <w:lang w:eastAsia="en-GB"/>
              </w:rPr>
            </w:pPr>
            <w:r w:rsidRPr="00450F55">
              <w:rPr>
                <w:rFonts w:cs="Arial"/>
                <w:color w:val="FFFFFF" w:themeColor="background1"/>
                <w:sz w:val="20"/>
                <w:szCs w:val="20"/>
                <w:lang w:eastAsia="en-GB"/>
              </w:rPr>
              <w:t>Observed</w:t>
            </w:r>
          </w:p>
        </w:tc>
        <w:tc>
          <w:tcPr>
            <w:tcW w:w="1457" w:type="dxa"/>
            <w:shd w:val="clear" w:color="auto" w:fill="9BBB59" w:themeFill="accent3"/>
            <w:vAlign w:val="center"/>
          </w:tcPr>
          <w:p w14:paraId="206439FC" w14:textId="77777777" w:rsidR="00333AC0" w:rsidRPr="00450F55" w:rsidRDefault="00333AC0" w:rsidP="00011A05">
            <w:pPr>
              <w:autoSpaceDE w:val="0"/>
              <w:autoSpaceDN w:val="0"/>
              <w:adjustRightInd w:val="0"/>
              <w:jc w:val="center"/>
              <w:rPr>
                <w:rFonts w:cs="Arial"/>
                <w:color w:val="FFFFFF" w:themeColor="background1"/>
                <w:sz w:val="20"/>
                <w:szCs w:val="20"/>
                <w:lang w:eastAsia="en-GB"/>
              </w:rPr>
            </w:pPr>
            <w:r w:rsidRPr="00450F55">
              <w:rPr>
                <w:rFonts w:cs="Arial"/>
                <w:color w:val="FFFFFF" w:themeColor="background1"/>
                <w:sz w:val="20"/>
                <w:szCs w:val="20"/>
                <w:lang w:eastAsia="en-GB"/>
              </w:rPr>
              <w:t>Expected</w:t>
            </w:r>
          </w:p>
        </w:tc>
        <w:tc>
          <w:tcPr>
            <w:tcW w:w="1095" w:type="dxa"/>
            <w:vMerge/>
            <w:shd w:val="clear" w:color="auto" w:fill="DBE5F1" w:themeFill="accent1" w:themeFillTint="33"/>
            <w:vAlign w:val="center"/>
          </w:tcPr>
          <w:p w14:paraId="206439FD" w14:textId="77777777" w:rsidR="00333AC0" w:rsidRPr="002266FB" w:rsidRDefault="00333AC0" w:rsidP="00011A05">
            <w:pPr>
              <w:autoSpaceDE w:val="0"/>
              <w:autoSpaceDN w:val="0"/>
              <w:adjustRightInd w:val="0"/>
              <w:jc w:val="center"/>
              <w:rPr>
                <w:rFonts w:cs="Arial"/>
                <w:color w:val="000000" w:themeColor="text1"/>
                <w:sz w:val="20"/>
                <w:szCs w:val="20"/>
                <w:lang w:eastAsia="en-GB"/>
              </w:rPr>
            </w:pPr>
          </w:p>
        </w:tc>
        <w:tc>
          <w:tcPr>
            <w:tcW w:w="1985" w:type="dxa"/>
            <w:vMerge/>
            <w:shd w:val="clear" w:color="auto" w:fill="DBE5F1" w:themeFill="accent1" w:themeFillTint="33"/>
            <w:vAlign w:val="center"/>
          </w:tcPr>
          <w:p w14:paraId="206439FE" w14:textId="77777777" w:rsidR="00333AC0" w:rsidRPr="002266FB" w:rsidRDefault="00333AC0" w:rsidP="00011A05">
            <w:pPr>
              <w:autoSpaceDE w:val="0"/>
              <w:autoSpaceDN w:val="0"/>
              <w:adjustRightInd w:val="0"/>
              <w:jc w:val="center"/>
              <w:rPr>
                <w:rFonts w:cs="Arial"/>
                <w:color w:val="000000" w:themeColor="text1"/>
                <w:sz w:val="20"/>
                <w:szCs w:val="20"/>
                <w:lang w:eastAsia="en-GB"/>
              </w:rPr>
            </w:pPr>
          </w:p>
        </w:tc>
      </w:tr>
      <w:tr w:rsidR="00333AC0" w:rsidRPr="002266FB" w14:paraId="20643A06" w14:textId="77777777" w:rsidTr="00011A05">
        <w:trPr>
          <w:trHeight w:val="283"/>
          <w:jc w:val="center"/>
        </w:trPr>
        <w:tc>
          <w:tcPr>
            <w:tcW w:w="1632" w:type="dxa"/>
            <w:vAlign w:val="center"/>
          </w:tcPr>
          <w:p w14:paraId="20643A00" w14:textId="77777777" w:rsidR="00333AC0" w:rsidRPr="001341FF" w:rsidRDefault="00333AC0" w:rsidP="00011A05">
            <w:pPr>
              <w:autoSpaceDE w:val="0"/>
              <w:autoSpaceDN w:val="0"/>
              <w:adjustRightInd w:val="0"/>
              <w:jc w:val="center"/>
              <w:rPr>
                <w:rFonts w:cs="Arial"/>
                <w:color w:val="000000" w:themeColor="text1"/>
                <w:sz w:val="20"/>
                <w:szCs w:val="20"/>
                <w:vertAlign w:val="superscript"/>
                <w:lang w:eastAsia="en-GB"/>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4</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2</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1</w:t>
            </w:r>
          </w:p>
        </w:tc>
        <w:tc>
          <w:tcPr>
            <w:tcW w:w="1003" w:type="dxa"/>
            <w:vAlign w:val="center"/>
          </w:tcPr>
          <w:p w14:paraId="20643A01"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64</w:t>
            </w:r>
          </w:p>
        </w:tc>
        <w:tc>
          <w:tcPr>
            <w:tcW w:w="2063" w:type="dxa"/>
            <w:vAlign w:val="center"/>
          </w:tcPr>
          <w:p w14:paraId="20643A02"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44</w:t>
            </w:r>
            <w:r w:rsidRPr="001341FF">
              <w:rPr>
                <w:rFonts w:cs="Arial"/>
                <w:color w:val="000000" w:themeColor="text1"/>
                <w:sz w:val="20"/>
                <w:szCs w:val="20"/>
                <w:lang w:eastAsia="en-GB"/>
              </w:rPr>
              <w:t>:</w:t>
            </w:r>
            <w:r w:rsidRPr="001341FF">
              <w:rPr>
                <w:rFonts w:cs="Arial"/>
                <w:color w:val="FF0000"/>
                <w:sz w:val="20"/>
                <w:szCs w:val="20"/>
                <w:lang w:eastAsia="en-GB"/>
              </w:rPr>
              <w:t>20</w:t>
            </w:r>
          </w:p>
        </w:tc>
        <w:tc>
          <w:tcPr>
            <w:tcW w:w="1457" w:type="dxa"/>
            <w:vAlign w:val="center"/>
          </w:tcPr>
          <w:p w14:paraId="20643A03"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48</w:t>
            </w:r>
            <w:r w:rsidRPr="001341FF">
              <w:rPr>
                <w:rFonts w:cs="Arial"/>
                <w:color w:val="000000" w:themeColor="text1"/>
                <w:sz w:val="20"/>
                <w:szCs w:val="20"/>
                <w:lang w:eastAsia="en-GB"/>
              </w:rPr>
              <w:t>:</w:t>
            </w:r>
            <w:r w:rsidRPr="001341FF">
              <w:rPr>
                <w:rFonts w:cs="Arial"/>
                <w:color w:val="FF0000"/>
                <w:sz w:val="20"/>
                <w:szCs w:val="20"/>
                <w:lang w:eastAsia="en-GB"/>
              </w:rPr>
              <w:t>16</w:t>
            </w:r>
          </w:p>
        </w:tc>
        <w:tc>
          <w:tcPr>
            <w:tcW w:w="1095" w:type="dxa"/>
            <w:vAlign w:val="center"/>
          </w:tcPr>
          <w:p w14:paraId="20643A04"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1.333</w:t>
            </w:r>
          </w:p>
        </w:tc>
        <w:tc>
          <w:tcPr>
            <w:tcW w:w="1985" w:type="dxa"/>
            <w:vAlign w:val="center"/>
          </w:tcPr>
          <w:p w14:paraId="20643A05"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0.2482 (NS)</w:t>
            </w:r>
          </w:p>
        </w:tc>
      </w:tr>
      <w:tr w:rsidR="00333AC0" w:rsidRPr="002266FB" w14:paraId="20643A0D" w14:textId="77777777" w:rsidTr="00011A05">
        <w:trPr>
          <w:trHeight w:val="283"/>
          <w:jc w:val="center"/>
        </w:trPr>
        <w:tc>
          <w:tcPr>
            <w:tcW w:w="1632" w:type="dxa"/>
            <w:tcBorders>
              <w:bottom w:val="single" w:sz="4" w:space="0" w:color="auto"/>
            </w:tcBorders>
            <w:shd w:val="clear" w:color="auto" w:fill="EAF1DD" w:themeFill="accent3" w:themeFillTint="33"/>
            <w:vAlign w:val="center"/>
          </w:tcPr>
          <w:p w14:paraId="20643A07"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4</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2</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2</w:t>
            </w:r>
          </w:p>
        </w:tc>
        <w:tc>
          <w:tcPr>
            <w:tcW w:w="1003" w:type="dxa"/>
            <w:tcBorders>
              <w:bottom w:val="single" w:sz="4" w:space="0" w:color="auto"/>
            </w:tcBorders>
            <w:shd w:val="clear" w:color="auto" w:fill="EAF1DD" w:themeFill="accent3" w:themeFillTint="33"/>
            <w:vAlign w:val="center"/>
          </w:tcPr>
          <w:p w14:paraId="20643A08"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51</w:t>
            </w:r>
          </w:p>
        </w:tc>
        <w:tc>
          <w:tcPr>
            <w:tcW w:w="2063" w:type="dxa"/>
            <w:tcBorders>
              <w:bottom w:val="single" w:sz="4" w:space="0" w:color="auto"/>
            </w:tcBorders>
            <w:shd w:val="clear" w:color="auto" w:fill="EAF1DD" w:themeFill="accent3" w:themeFillTint="33"/>
            <w:vAlign w:val="center"/>
          </w:tcPr>
          <w:p w14:paraId="20643A09"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38</w:t>
            </w:r>
            <w:r w:rsidRPr="001341FF">
              <w:rPr>
                <w:rFonts w:cs="Arial"/>
                <w:color w:val="000000" w:themeColor="text1"/>
                <w:sz w:val="20"/>
                <w:szCs w:val="20"/>
                <w:lang w:eastAsia="en-GB"/>
              </w:rPr>
              <w:t>:</w:t>
            </w:r>
            <w:r w:rsidRPr="001341FF">
              <w:rPr>
                <w:rFonts w:cs="Arial"/>
                <w:color w:val="FF0000"/>
                <w:sz w:val="20"/>
                <w:szCs w:val="20"/>
                <w:lang w:eastAsia="en-GB"/>
              </w:rPr>
              <w:t>13</w:t>
            </w:r>
          </w:p>
        </w:tc>
        <w:tc>
          <w:tcPr>
            <w:tcW w:w="1457" w:type="dxa"/>
            <w:tcBorders>
              <w:bottom w:val="single" w:sz="4" w:space="0" w:color="auto"/>
            </w:tcBorders>
            <w:shd w:val="clear" w:color="auto" w:fill="EAF1DD" w:themeFill="accent3" w:themeFillTint="33"/>
            <w:vAlign w:val="center"/>
          </w:tcPr>
          <w:p w14:paraId="20643A0A"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38.25</w:t>
            </w:r>
            <w:r w:rsidRPr="001341FF">
              <w:rPr>
                <w:rFonts w:cs="Arial"/>
                <w:color w:val="000000" w:themeColor="text1"/>
                <w:sz w:val="20"/>
                <w:szCs w:val="20"/>
                <w:lang w:eastAsia="en-GB"/>
              </w:rPr>
              <w:t>:</w:t>
            </w:r>
            <w:r w:rsidRPr="001341FF">
              <w:rPr>
                <w:rFonts w:cs="Arial"/>
                <w:color w:val="FF0000"/>
                <w:sz w:val="20"/>
                <w:szCs w:val="20"/>
                <w:lang w:eastAsia="en-GB"/>
              </w:rPr>
              <w:t>12.75</w:t>
            </w:r>
          </w:p>
        </w:tc>
        <w:tc>
          <w:tcPr>
            <w:tcW w:w="1095" w:type="dxa"/>
            <w:tcBorders>
              <w:bottom w:val="single" w:sz="4" w:space="0" w:color="auto"/>
            </w:tcBorders>
            <w:shd w:val="clear" w:color="auto" w:fill="EAF1DD" w:themeFill="accent3" w:themeFillTint="33"/>
            <w:vAlign w:val="center"/>
          </w:tcPr>
          <w:p w14:paraId="20643A0B"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0.007</w:t>
            </w:r>
          </w:p>
        </w:tc>
        <w:tc>
          <w:tcPr>
            <w:tcW w:w="1985" w:type="dxa"/>
            <w:tcBorders>
              <w:bottom w:val="single" w:sz="4" w:space="0" w:color="auto"/>
            </w:tcBorders>
            <w:shd w:val="clear" w:color="auto" w:fill="EAF1DD" w:themeFill="accent3" w:themeFillTint="33"/>
            <w:vAlign w:val="center"/>
          </w:tcPr>
          <w:p w14:paraId="20643A0C"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0.9356 (NS)</w:t>
            </w:r>
          </w:p>
        </w:tc>
      </w:tr>
      <w:tr w:rsidR="00333AC0" w:rsidRPr="002266FB" w14:paraId="20643A14" w14:textId="77777777" w:rsidTr="00011A05">
        <w:trPr>
          <w:trHeight w:val="283"/>
          <w:jc w:val="center"/>
        </w:trPr>
        <w:tc>
          <w:tcPr>
            <w:tcW w:w="1632" w:type="dxa"/>
            <w:tcBorders>
              <w:bottom w:val="double" w:sz="4" w:space="0" w:color="auto"/>
            </w:tcBorders>
            <w:vAlign w:val="center"/>
          </w:tcPr>
          <w:p w14:paraId="20643A0E" w14:textId="77777777" w:rsidR="00333AC0" w:rsidRPr="001341FF" w:rsidRDefault="00333AC0" w:rsidP="00011A05">
            <w:pPr>
              <w:autoSpaceDE w:val="0"/>
              <w:autoSpaceDN w:val="0"/>
              <w:adjustRightInd w:val="0"/>
              <w:jc w:val="center"/>
              <w:rPr>
                <w:rFonts w:eastAsia="Batang" w:cs="Arial"/>
                <w:bCs/>
                <w:color w:val="000000" w:themeColor="text1"/>
                <w:sz w:val="20"/>
                <w:szCs w:val="20"/>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4</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2</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3</w:t>
            </w:r>
          </w:p>
        </w:tc>
        <w:tc>
          <w:tcPr>
            <w:tcW w:w="1003" w:type="dxa"/>
            <w:tcBorders>
              <w:bottom w:val="double" w:sz="4" w:space="0" w:color="auto"/>
            </w:tcBorders>
            <w:vAlign w:val="center"/>
          </w:tcPr>
          <w:p w14:paraId="20643A0F"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63</w:t>
            </w:r>
          </w:p>
        </w:tc>
        <w:tc>
          <w:tcPr>
            <w:tcW w:w="2063" w:type="dxa"/>
            <w:tcBorders>
              <w:bottom w:val="double" w:sz="4" w:space="0" w:color="auto"/>
            </w:tcBorders>
            <w:vAlign w:val="center"/>
          </w:tcPr>
          <w:p w14:paraId="20643A10"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43</w:t>
            </w:r>
            <w:r w:rsidRPr="001341FF">
              <w:rPr>
                <w:rFonts w:cs="Arial"/>
                <w:color w:val="000000" w:themeColor="text1"/>
                <w:sz w:val="20"/>
                <w:szCs w:val="20"/>
                <w:lang w:eastAsia="en-GB"/>
              </w:rPr>
              <w:t>:</w:t>
            </w:r>
            <w:r w:rsidRPr="001341FF">
              <w:rPr>
                <w:rFonts w:cs="Arial"/>
                <w:color w:val="FF0000"/>
                <w:sz w:val="20"/>
                <w:szCs w:val="20"/>
                <w:lang w:eastAsia="en-GB"/>
              </w:rPr>
              <w:t>20</w:t>
            </w:r>
          </w:p>
        </w:tc>
        <w:tc>
          <w:tcPr>
            <w:tcW w:w="1457" w:type="dxa"/>
            <w:tcBorders>
              <w:bottom w:val="double" w:sz="4" w:space="0" w:color="auto"/>
            </w:tcBorders>
            <w:vAlign w:val="center"/>
          </w:tcPr>
          <w:p w14:paraId="20643A11"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B050"/>
                <w:sz w:val="20"/>
                <w:szCs w:val="20"/>
                <w:lang w:eastAsia="en-GB"/>
              </w:rPr>
              <w:t>47.25</w:t>
            </w:r>
            <w:r w:rsidRPr="001341FF">
              <w:rPr>
                <w:rFonts w:cs="Arial"/>
                <w:color w:val="000000" w:themeColor="text1"/>
                <w:sz w:val="20"/>
                <w:szCs w:val="20"/>
                <w:lang w:eastAsia="en-GB"/>
              </w:rPr>
              <w:t>:</w:t>
            </w:r>
            <w:r w:rsidRPr="001341FF">
              <w:rPr>
                <w:rFonts w:cs="Arial"/>
                <w:color w:val="FF0000"/>
                <w:sz w:val="20"/>
                <w:szCs w:val="20"/>
                <w:lang w:eastAsia="en-GB"/>
              </w:rPr>
              <w:t>15.75</w:t>
            </w:r>
          </w:p>
        </w:tc>
        <w:tc>
          <w:tcPr>
            <w:tcW w:w="1095" w:type="dxa"/>
            <w:tcBorders>
              <w:bottom w:val="double" w:sz="4" w:space="0" w:color="auto"/>
            </w:tcBorders>
            <w:vAlign w:val="center"/>
          </w:tcPr>
          <w:p w14:paraId="20643A12"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1.529</w:t>
            </w:r>
          </w:p>
        </w:tc>
        <w:tc>
          <w:tcPr>
            <w:tcW w:w="1985" w:type="dxa"/>
            <w:tcBorders>
              <w:bottom w:val="double" w:sz="4" w:space="0" w:color="auto"/>
            </w:tcBorders>
            <w:vAlign w:val="center"/>
          </w:tcPr>
          <w:p w14:paraId="20643A13"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0.2162 (NS)</w:t>
            </w:r>
          </w:p>
        </w:tc>
      </w:tr>
      <w:tr w:rsidR="00333AC0" w:rsidRPr="002266FB" w14:paraId="20643A1B" w14:textId="77777777" w:rsidTr="00011A05">
        <w:trPr>
          <w:trHeight w:val="283"/>
          <w:jc w:val="center"/>
        </w:trPr>
        <w:tc>
          <w:tcPr>
            <w:tcW w:w="1632" w:type="dxa"/>
            <w:tcBorders>
              <w:top w:val="double" w:sz="4" w:space="0" w:color="auto"/>
            </w:tcBorders>
            <w:shd w:val="clear" w:color="auto" w:fill="EAF1DD" w:themeFill="accent3" w:themeFillTint="33"/>
            <w:vAlign w:val="center"/>
          </w:tcPr>
          <w:p w14:paraId="20643A15" w14:textId="77777777" w:rsidR="00333AC0" w:rsidRPr="001341FF" w:rsidRDefault="00333AC0" w:rsidP="00011A05">
            <w:pPr>
              <w:autoSpaceDE w:val="0"/>
              <w:autoSpaceDN w:val="0"/>
              <w:adjustRightInd w:val="0"/>
              <w:jc w:val="center"/>
              <w:rPr>
                <w:rFonts w:eastAsia="Batang" w:cs="Arial"/>
                <w:bCs/>
                <w:color w:val="000000" w:themeColor="text1"/>
                <w:sz w:val="20"/>
                <w:szCs w:val="20"/>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5</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1</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1</w:t>
            </w:r>
          </w:p>
        </w:tc>
        <w:tc>
          <w:tcPr>
            <w:tcW w:w="1003" w:type="dxa"/>
            <w:tcBorders>
              <w:top w:val="double" w:sz="4" w:space="0" w:color="auto"/>
            </w:tcBorders>
            <w:shd w:val="clear" w:color="auto" w:fill="EAF1DD" w:themeFill="accent3" w:themeFillTint="33"/>
            <w:vAlign w:val="center"/>
          </w:tcPr>
          <w:p w14:paraId="20643A16"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59</w:t>
            </w:r>
          </w:p>
        </w:tc>
        <w:tc>
          <w:tcPr>
            <w:tcW w:w="2063" w:type="dxa"/>
            <w:tcBorders>
              <w:top w:val="double" w:sz="4" w:space="0" w:color="auto"/>
            </w:tcBorders>
            <w:shd w:val="clear" w:color="auto" w:fill="EAF1DD" w:themeFill="accent3" w:themeFillTint="33"/>
            <w:vAlign w:val="center"/>
          </w:tcPr>
          <w:p w14:paraId="20643A17"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32</w:t>
            </w:r>
            <w:r w:rsidRPr="001341FF">
              <w:rPr>
                <w:rFonts w:cs="Arial"/>
                <w:color w:val="000000" w:themeColor="text1"/>
                <w:sz w:val="20"/>
                <w:szCs w:val="20"/>
                <w:lang w:eastAsia="en-GB"/>
              </w:rPr>
              <w:t>:</w:t>
            </w:r>
            <w:r w:rsidRPr="001341FF">
              <w:rPr>
                <w:rFonts w:cs="Arial"/>
                <w:color w:val="FF0000"/>
                <w:sz w:val="20"/>
                <w:szCs w:val="20"/>
                <w:lang w:eastAsia="en-GB"/>
              </w:rPr>
              <w:t>27</w:t>
            </w:r>
          </w:p>
        </w:tc>
        <w:tc>
          <w:tcPr>
            <w:tcW w:w="1457" w:type="dxa"/>
            <w:tcBorders>
              <w:top w:val="double" w:sz="4" w:space="0" w:color="auto"/>
            </w:tcBorders>
            <w:shd w:val="clear" w:color="auto" w:fill="EAF1DD" w:themeFill="accent3" w:themeFillTint="33"/>
            <w:vAlign w:val="center"/>
          </w:tcPr>
          <w:p w14:paraId="20643A18"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29.5</w:t>
            </w:r>
            <w:r w:rsidRPr="001341FF">
              <w:rPr>
                <w:rFonts w:cs="Arial"/>
                <w:color w:val="000000" w:themeColor="text1"/>
                <w:sz w:val="20"/>
                <w:szCs w:val="20"/>
                <w:lang w:eastAsia="en-GB"/>
              </w:rPr>
              <w:t>:</w:t>
            </w:r>
            <w:r w:rsidRPr="001341FF">
              <w:rPr>
                <w:rFonts w:cs="Arial"/>
                <w:color w:val="FF0000"/>
                <w:sz w:val="20"/>
                <w:szCs w:val="20"/>
                <w:lang w:eastAsia="en-GB"/>
              </w:rPr>
              <w:t>29.5</w:t>
            </w:r>
          </w:p>
        </w:tc>
        <w:tc>
          <w:tcPr>
            <w:tcW w:w="1095" w:type="dxa"/>
            <w:tcBorders>
              <w:top w:val="double" w:sz="4" w:space="0" w:color="auto"/>
            </w:tcBorders>
            <w:shd w:val="clear" w:color="auto" w:fill="EAF1DD" w:themeFill="accent3" w:themeFillTint="33"/>
            <w:vAlign w:val="center"/>
          </w:tcPr>
          <w:p w14:paraId="20643A19"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0.424</w:t>
            </w:r>
          </w:p>
        </w:tc>
        <w:tc>
          <w:tcPr>
            <w:tcW w:w="1985" w:type="dxa"/>
            <w:tcBorders>
              <w:top w:val="double" w:sz="4" w:space="0" w:color="auto"/>
            </w:tcBorders>
            <w:shd w:val="clear" w:color="auto" w:fill="EAF1DD" w:themeFill="accent3" w:themeFillTint="33"/>
            <w:vAlign w:val="center"/>
          </w:tcPr>
          <w:p w14:paraId="20643A1A"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0.5151 (NS)</w:t>
            </w:r>
          </w:p>
        </w:tc>
      </w:tr>
      <w:tr w:rsidR="00333AC0" w:rsidRPr="002266FB" w14:paraId="20643A22" w14:textId="77777777" w:rsidTr="00011A05">
        <w:trPr>
          <w:trHeight w:val="283"/>
          <w:jc w:val="center"/>
        </w:trPr>
        <w:tc>
          <w:tcPr>
            <w:tcW w:w="1632" w:type="dxa"/>
            <w:tcBorders>
              <w:bottom w:val="single" w:sz="4" w:space="0" w:color="auto"/>
            </w:tcBorders>
            <w:vAlign w:val="center"/>
          </w:tcPr>
          <w:p w14:paraId="20643A1C" w14:textId="77777777" w:rsidR="00333AC0" w:rsidRPr="001341FF" w:rsidRDefault="00333AC0" w:rsidP="00011A05">
            <w:pPr>
              <w:autoSpaceDE w:val="0"/>
              <w:autoSpaceDN w:val="0"/>
              <w:adjustRightInd w:val="0"/>
              <w:jc w:val="center"/>
              <w:rPr>
                <w:rFonts w:eastAsia="Batang" w:cs="Arial"/>
                <w:bCs/>
                <w:color w:val="000000" w:themeColor="text1"/>
                <w:sz w:val="20"/>
                <w:szCs w:val="20"/>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5</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1</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1</w:t>
            </w:r>
          </w:p>
        </w:tc>
        <w:tc>
          <w:tcPr>
            <w:tcW w:w="1003" w:type="dxa"/>
            <w:tcBorders>
              <w:bottom w:val="single" w:sz="4" w:space="0" w:color="auto"/>
            </w:tcBorders>
            <w:vAlign w:val="center"/>
          </w:tcPr>
          <w:p w14:paraId="20643A1D"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49</w:t>
            </w:r>
          </w:p>
        </w:tc>
        <w:tc>
          <w:tcPr>
            <w:tcW w:w="2063" w:type="dxa"/>
            <w:tcBorders>
              <w:bottom w:val="single" w:sz="4" w:space="0" w:color="auto"/>
            </w:tcBorders>
            <w:vAlign w:val="center"/>
          </w:tcPr>
          <w:p w14:paraId="20643A1E"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25</w:t>
            </w:r>
            <w:r w:rsidRPr="001341FF">
              <w:rPr>
                <w:rFonts w:cs="Arial"/>
                <w:color w:val="000000" w:themeColor="text1"/>
                <w:sz w:val="20"/>
                <w:szCs w:val="20"/>
                <w:lang w:eastAsia="en-GB"/>
              </w:rPr>
              <w:t>:</w:t>
            </w:r>
            <w:r w:rsidRPr="001341FF">
              <w:rPr>
                <w:rFonts w:cs="Arial"/>
                <w:color w:val="FF0000"/>
                <w:sz w:val="20"/>
                <w:szCs w:val="20"/>
                <w:lang w:eastAsia="en-GB"/>
              </w:rPr>
              <w:t>24</w:t>
            </w:r>
          </w:p>
        </w:tc>
        <w:tc>
          <w:tcPr>
            <w:tcW w:w="1457" w:type="dxa"/>
            <w:tcBorders>
              <w:bottom w:val="single" w:sz="4" w:space="0" w:color="auto"/>
            </w:tcBorders>
            <w:vAlign w:val="center"/>
          </w:tcPr>
          <w:p w14:paraId="20643A1F"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24.5</w:t>
            </w:r>
            <w:r w:rsidRPr="001341FF">
              <w:rPr>
                <w:rFonts w:cs="Arial"/>
                <w:color w:val="000000" w:themeColor="text1"/>
                <w:sz w:val="20"/>
                <w:szCs w:val="20"/>
                <w:lang w:eastAsia="en-GB"/>
              </w:rPr>
              <w:t>:</w:t>
            </w:r>
            <w:r w:rsidRPr="001341FF">
              <w:rPr>
                <w:rFonts w:cs="Arial"/>
                <w:color w:val="FF0000"/>
                <w:sz w:val="20"/>
                <w:szCs w:val="20"/>
                <w:lang w:eastAsia="en-GB"/>
              </w:rPr>
              <w:t>24.5</w:t>
            </w:r>
          </w:p>
        </w:tc>
        <w:tc>
          <w:tcPr>
            <w:tcW w:w="1095" w:type="dxa"/>
            <w:tcBorders>
              <w:bottom w:val="single" w:sz="4" w:space="0" w:color="auto"/>
            </w:tcBorders>
            <w:vAlign w:val="center"/>
          </w:tcPr>
          <w:p w14:paraId="20643A20"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0.020</w:t>
            </w:r>
          </w:p>
        </w:tc>
        <w:tc>
          <w:tcPr>
            <w:tcW w:w="1985" w:type="dxa"/>
            <w:tcBorders>
              <w:bottom w:val="single" w:sz="4" w:space="0" w:color="auto"/>
            </w:tcBorders>
            <w:vAlign w:val="center"/>
          </w:tcPr>
          <w:p w14:paraId="20643A21"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0.8864 (NS)</w:t>
            </w:r>
          </w:p>
        </w:tc>
      </w:tr>
      <w:tr w:rsidR="00333AC0" w:rsidRPr="002266FB" w14:paraId="20643A29" w14:textId="77777777" w:rsidTr="00011A05">
        <w:trPr>
          <w:trHeight w:val="283"/>
          <w:jc w:val="center"/>
        </w:trPr>
        <w:tc>
          <w:tcPr>
            <w:tcW w:w="1632" w:type="dxa"/>
            <w:tcBorders>
              <w:bottom w:val="double" w:sz="4" w:space="0" w:color="auto"/>
            </w:tcBorders>
            <w:shd w:val="clear" w:color="auto" w:fill="EAF1DD" w:themeFill="accent3" w:themeFillTint="33"/>
            <w:vAlign w:val="center"/>
          </w:tcPr>
          <w:p w14:paraId="20643A23" w14:textId="77777777" w:rsidR="00333AC0" w:rsidRPr="001341FF" w:rsidRDefault="00333AC0" w:rsidP="00011A05">
            <w:pPr>
              <w:autoSpaceDE w:val="0"/>
              <w:autoSpaceDN w:val="0"/>
              <w:adjustRightInd w:val="0"/>
              <w:jc w:val="center"/>
              <w:rPr>
                <w:rFonts w:eastAsia="Batang" w:cs="Arial"/>
                <w:bCs/>
                <w:color w:val="000000" w:themeColor="text1"/>
                <w:sz w:val="20"/>
                <w:szCs w:val="20"/>
              </w:rPr>
            </w:pPr>
            <w:r w:rsidRPr="001341FF">
              <w:rPr>
                <w:rFonts w:eastAsia="Batang" w:cs="Arial"/>
                <w:bCs/>
                <w:color w:val="000000" w:themeColor="text1"/>
                <w:sz w:val="20"/>
                <w:szCs w:val="20"/>
              </w:rPr>
              <w:t>BC</w:t>
            </w:r>
            <w:r w:rsidRPr="001341FF">
              <w:rPr>
                <w:rFonts w:eastAsia="Batang" w:cs="Arial"/>
                <w:bCs/>
                <w:color w:val="000000" w:themeColor="text1"/>
                <w:sz w:val="20"/>
                <w:szCs w:val="20"/>
                <w:vertAlign w:val="subscript"/>
              </w:rPr>
              <w:t>5</w:t>
            </w:r>
            <w:r w:rsidRPr="001341FF">
              <w:rPr>
                <w:rFonts w:eastAsia="Batang" w:cs="Arial"/>
                <w:bCs/>
                <w:color w:val="000000" w:themeColor="text1"/>
                <w:sz w:val="20"/>
                <w:szCs w:val="20"/>
              </w:rPr>
              <w:t>F</w:t>
            </w:r>
            <w:r w:rsidRPr="001341FF">
              <w:rPr>
                <w:rFonts w:eastAsia="Batang" w:cs="Arial"/>
                <w:bCs/>
                <w:color w:val="000000" w:themeColor="text1"/>
                <w:sz w:val="20"/>
                <w:szCs w:val="20"/>
                <w:vertAlign w:val="subscript"/>
              </w:rPr>
              <w:t>1</w:t>
            </w:r>
            <w:r w:rsidRPr="001341FF">
              <w:rPr>
                <w:rFonts w:eastAsia="Batang" w:cs="Arial"/>
                <w:bCs/>
                <w:color w:val="000000" w:themeColor="text1"/>
                <w:sz w:val="20"/>
                <w:szCs w:val="20"/>
              </w:rPr>
              <w:t>*</w:t>
            </w:r>
            <w:r w:rsidRPr="001341FF">
              <w:rPr>
                <w:rFonts w:eastAsia="Batang" w:cs="Arial"/>
                <w:bCs/>
                <w:color w:val="000000" w:themeColor="text1"/>
                <w:sz w:val="20"/>
                <w:szCs w:val="20"/>
                <w:vertAlign w:val="superscript"/>
              </w:rPr>
              <w:t>1</w:t>
            </w:r>
          </w:p>
        </w:tc>
        <w:tc>
          <w:tcPr>
            <w:tcW w:w="1003" w:type="dxa"/>
            <w:tcBorders>
              <w:bottom w:val="double" w:sz="4" w:space="0" w:color="auto"/>
            </w:tcBorders>
            <w:shd w:val="clear" w:color="auto" w:fill="EAF1DD" w:themeFill="accent3" w:themeFillTint="33"/>
            <w:vAlign w:val="center"/>
          </w:tcPr>
          <w:p w14:paraId="20643A24"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127</w:t>
            </w:r>
          </w:p>
        </w:tc>
        <w:tc>
          <w:tcPr>
            <w:tcW w:w="2063" w:type="dxa"/>
            <w:tcBorders>
              <w:bottom w:val="double" w:sz="4" w:space="0" w:color="auto"/>
            </w:tcBorders>
            <w:shd w:val="clear" w:color="auto" w:fill="EAF1DD" w:themeFill="accent3" w:themeFillTint="33"/>
            <w:vAlign w:val="center"/>
          </w:tcPr>
          <w:p w14:paraId="20643A25"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68</w:t>
            </w:r>
            <w:r w:rsidRPr="001341FF">
              <w:rPr>
                <w:rFonts w:cs="Arial"/>
                <w:color w:val="000000" w:themeColor="text1"/>
                <w:sz w:val="20"/>
                <w:szCs w:val="20"/>
                <w:lang w:eastAsia="en-GB"/>
              </w:rPr>
              <w:t>:</w:t>
            </w:r>
            <w:r w:rsidRPr="001341FF">
              <w:rPr>
                <w:rFonts w:cs="Arial"/>
                <w:color w:val="FF0000"/>
                <w:sz w:val="20"/>
                <w:szCs w:val="20"/>
                <w:lang w:eastAsia="en-GB"/>
              </w:rPr>
              <w:t>59</w:t>
            </w:r>
          </w:p>
        </w:tc>
        <w:tc>
          <w:tcPr>
            <w:tcW w:w="1457" w:type="dxa"/>
            <w:tcBorders>
              <w:bottom w:val="double" w:sz="4" w:space="0" w:color="auto"/>
            </w:tcBorders>
            <w:shd w:val="clear" w:color="auto" w:fill="EAF1DD" w:themeFill="accent3" w:themeFillTint="33"/>
            <w:vAlign w:val="center"/>
          </w:tcPr>
          <w:p w14:paraId="20643A26" w14:textId="77777777" w:rsidR="00333AC0" w:rsidRPr="001341FF" w:rsidRDefault="00333AC0" w:rsidP="00011A05">
            <w:pPr>
              <w:autoSpaceDE w:val="0"/>
              <w:autoSpaceDN w:val="0"/>
              <w:adjustRightInd w:val="0"/>
              <w:jc w:val="center"/>
              <w:rPr>
                <w:rFonts w:cs="Arial"/>
                <w:color w:val="00B050"/>
                <w:sz w:val="20"/>
                <w:szCs w:val="20"/>
                <w:lang w:eastAsia="en-GB"/>
              </w:rPr>
            </w:pPr>
            <w:r w:rsidRPr="001341FF">
              <w:rPr>
                <w:rFonts w:cs="Arial"/>
                <w:color w:val="00B050"/>
                <w:sz w:val="20"/>
                <w:szCs w:val="20"/>
                <w:lang w:eastAsia="en-GB"/>
              </w:rPr>
              <w:t>63.5</w:t>
            </w:r>
            <w:r w:rsidRPr="001341FF">
              <w:rPr>
                <w:rFonts w:cs="Arial"/>
                <w:color w:val="000000" w:themeColor="text1"/>
                <w:sz w:val="20"/>
                <w:szCs w:val="20"/>
                <w:lang w:eastAsia="en-GB"/>
              </w:rPr>
              <w:t>:</w:t>
            </w:r>
            <w:r w:rsidRPr="001341FF">
              <w:rPr>
                <w:rFonts w:cs="Arial"/>
                <w:color w:val="FF0000"/>
                <w:sz w:val="20"/>
                <w:szCs w:val="20"/>
                <w:lang w:eastAsia="en-GB"/>
              </w:rPr>
              <w:t>63.5</w:t>
            </w:r>
          </w:p>
        </w:tc>
        <w:tc>
          <w:tcPr>
            <w:tcW w:w="1095" w:type="dxa"/>
            <w:tcBorders>
              <w:bottom w:val="double" w:sz="4" w:space="0" w:color="auto"/>
            </w:tcBorders>
            <w:shd w:val="clear" w:color="auto" w:fill="EAF1DD" w:themeFill="accent3" w:themeFillTint="33"/>
            <w:vAlign w:val="center"/>
          </w:tcPr>
          <w:p w14:paraId="20643A27"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0.638</w:t>
            </w:r>
          </w:p>
        </w:tc>
        <w:tc>
          <w:tcPr>
            <w:tcW w:w="1985" w:type="dxa"/>
            <w:tcBorders>
              <w:bottom w:val="double" w:sz="4" w:space="0" w:color="auto"/>
            </w:tcBorders>
            <w:shd w:val="clear" w:color="auto" w:fill="EAF1DD" w:themeFill="accent3" w:themeFillTint="33"/>
            <w:vAlign w:val="center"/>
          </w:tcPr>
          <w:p w14:paraId="20643A28" w14:textId="77777777" w:rsidR="00333AC0" w:rsidRPr="001341FF" w:rsidRDefault="00333AC0" w:rsidP="00011A05">
            <w:pPr>
              <w:autoSpaceDE w:val="0"/>
              <w:autoSpaceDN w:val="0"/>
              <w:adjustRightInd w:val="0"/>
              <w:jc w:val="center"/>
              <w:rPr>
                <w:rFonts w:cs="Arial"/>
                <w:color w:val="000000" w:themeColor="text1"/>
                <w:sz w:val="20"/>
                <w:szCs w:val="20"/>
                <w:lang w:eastAsia="en-GB"/>
              </w:rPr>
            </w:pPr>
            <w:r w:rsidRPr="001341FF">
              <w:rPr>
                <w:rFonts w:cs="Arial"/>
                <w:color w:val="000000" w:themeColor="text1"/>
                <w:sz w:val="20"/>
                <w:szCs w:val="20"/>
                <w:lang w:eastAsia="en-GB"/>
              </w:rPr>
              <w:t>0.4245 (NS)</w:t>
            </w:r>
          </w:p>
        </w:tc>
      </w:tr>
      <w:tr w:rsidR="00333AC0" w:rsidRPr="002266FB" w14:paraId="20643A30" w14:textId="77777777" w:rsidTr="00011A05">
        <w:trPr>
          <w:trHeight w:val="283"/>
          <w:jc w:val="center"/>
        </w:trPr>
        <w:tc>
          <w:tcPr>
            <w:tcW w:w="1632" w:type="dxa"/>
            <w:tcBorders>
              <w:top w:val="double" w:sz="4" w:space="0" w:color="auto"/>
            </w:tcBorders>
            <w:vAlign w:val="center"/>
          </w:tcPr>
          <w:p w14:paraId="20643A2A" w14:textId="77777777" w:rsidR="00333AC0" w:rsidRPr="00AF0496" w:rsidRDefault="00333AC0" w:rsidP="00011A05">
            <w:pPr>
              <w:autoSpaceDE w:val="0"/>
              <w:autoSpaceDN w:val="0"/>
              <w:adjustRightInd w:val="0"/>
              <w:jc w:val="center"/>
              <w:rPr>
                <w:rFonts w:eastAsia="Batang" w:cs="Arial"/>
                <w:bCs/>
                <w:color w:val="000000" w:themeColor="text1"/>
                <w:szCs w:val="20"/>
              </w:rPr>
            </w:pPr>
            <w:r w:rsidRPr="00444729">
              <w:rPr>
                <w:rFonts w:eastAsia="Batang" w:cs="Arial"/>
                <w:bCs/>
                <w:color w:val="000000" w:themeColor="text1"/>
                <w:sz w:val="20"/>
                <w:szCs w:val="20"/>
              </w:rPr>
              <w:t>BC</w:t>
            </w:r>
            <w:r w:rsidRPr="00444729">
              <w:rPr>
                <w:rFonts w:eastAsia="Batang" w:cs="Arial"/>
                <w:bCs/>
                <w:color w:val="000000" w:themeColor="text1"/>
                <w:sz w:val="20"/>
                <w:szCs w:val="20"/>
                <w:vertAlign w:val="subscript"/>
              </w:rPr>
              <w:t>5</w:t>
            </w:r>
            <w:r w:rsidRPr="00444729">
              <w:rPr>
                <w:rFonts w:eastAsia="Batang" w:cs="Arial"/>
                <w:bCs/>
                <w:color w:val="000000" w:themeColor="text1"/>
                <w:sz w:val="20"/>
                <w:szCs w:val="20"/>
              </w:rPr>
              <w:t>F</w:t>
            </w:r>
            <w:r>
              <w:rPr>
                <w:rFonts w:eastAsia="Batang" w:cs="Arial"/>
                <w:bCs/>
                <w:color w:val="000000" w:themeColor="text1"/>
                <w:sz w:val="20"/>
                <w:szCs w:val="20"/>
                <w:vertAlign w:val="subscript"/>
              </w:rPr>
              <w:t>2</w:t>
            </w:r>
            <w:r w:rsidRPr="00444729">
              <w:rPr>
                <w:rFonts w:eastAsia="Batang" w:cs="Arial"/>
                <w:bCs/>
                <w:color w:val="000000" w:themeColor="text1"/>
                <w:sz w:val="20"/>
                <w:szCs w:val="20"/>
              </w:rPr>
              <w:t>*</w:t>
            </w:r>
            <w:r w:rsidRPr="00444729">
              <w:rPr>
                <w:rFonts w:eastAsia="Batang" w:cs="Arial"/>
                <w:bCs/>
                <w:color w:val="000000" w:themeColor="text1"/>
                <w:sz w:val="20"/>
                <w:szCs w:val="20"/>
                <w:vertAlign w:val="superscript"/>
              </w:rPr>
              <w:t>1</w:t>
            </w:r>
          </w:p>
        </w:tc>
        <w:tc>
          <w:tcPr>
            <w:tcW w:w="1003" w:type="dxa"/>
            <w:tcBorders>
              <w:top w:val="double" w:sz="4" w:space="0" w:color="auto"/>
            </w:tcBorders>
            <w:vAlign w:val="center"/>
          </w:tcPr>
          <w:p w14:paraId="20643A2B"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100</w:t>
            </w:r>
          </w:p>
        </w:tc>
        <w:tc>
          <w:tcPr>
            <w:tcW w:w="2063" w:type="dxa"/>
            <w:tcBorders>
              <w:top w:val="double" w:sz="4" w:space="0" w:color="auto"/>
            </w:tcBorders>
            <w:vAlign w:val="center"/>
          </w:tcPr>
          <w:p w14:paraId="20643A2C"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74</w:t>
            </w:r>
            <w:r w:rsidRPr="001341FF">
              <w:rPr>
                <w:rFonts w:cs="Arial"/>
                <w:color w:val="000000" w:themeColor="text1"/>
                <w:sz w:val="20"/>
                <w:szCs w:val="20"/>
                <w:lang w:eastAsia="en-GB"/>
              </w:rPr>
              <w:t>:</w:t>
            </w:r>
            <w:r w:rsidRPr="001341FF">
              <w:rPr>
                <w:rFonts w:cs="Arial"/>
                <w:color w:val="FF0000"/>
                <w:sz w:val="20"/>
                <w:szCs w:val="20"/>
                <w:lang w:eastAsia="en-GB"/>
              </w:rPr>
              <w:t>2</w:t>
            </w:r>
            <w:r>
              <w:rPr>
                <w:rFonts w:cs="Arial"/>
                <w:color w:val="FF0000"/>
                <w:sz w:val="20"/>
                <w:szCs w:val="20"/>
                <w:lang w:eastAsia="en-GB"/>
              </w:rPr>
              <w:t>6</w:t>
            </w:r>
          </w:p>
        </w:tc>
        <w:tc>
          <w:tcPr>
            <w:tcW w:w="1457" w:type="dxa"/>
            <w:tcBorders>
              <w:top w:val="double" w:sz="4" w:space="0" w:color="auto"/>
            </w:tcBorders>
            <w:vAlign w:val="center"/>
          </w:tcPr>
          <w:p w14:paraId="20643A2D"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75</w:t>
            </w:r>
            <w:r w:rsidRPr="001341FF">
              <w:rPr>
                <w:rFonts w:cs="Arial"/>
                <w:color w:val="000000" w:themeColor="text1"/>
                <w:sz w:val="20"/>
                <w:szCs w:val="20"/>
                <w:lang w:eastAsia="en-GB"/>
              </w:rPr>
              <w:t>:</w:t>
            </w:r>
            <w:r>
              <w:rPr>
                <w:rFonts w:cs="Arial"/>
                <w:color w:val="FF0000"/>
                <w:sz w:val="20"/>
                <w:szCs w:val="20"/>
                <w:lang w:eastAsia="en-GB"/>
              </w:rPr>
              <w:t>25</w:t>
            </w:r>
          </w:p>
        </w:tc>
        <w:tc>
          <w:tcPr>
            <w:tcW w:w="1095" w:type="dxa"/>
            <w:tcBorders>
              <w:top w:val="double" w:sz="4" w:space="0" w:color="auto"/>
            </w:tcBorders>
            <w:vAlign w:val="center"/>
          </w:tcPr>
          <w:p w14:paraId="20643A2E"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0.053</w:t>
            </w:r>
          </w:p>
        </w:tc>
        <w:tc>
          <w:tcPr>
            <w:tcW w:w="1985" w:type="dxa"/>
            <w:tcBorders>
              <w:top w:val="double" w:sz="4" w:space="0" w:color="auto"/>
            </w:tcBorders>
            <w:vAlign w:val="center"/>
          </w:tcPr>
          <w:p w14:paraId="20643A2F"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0.8174 (NS)</w:t>
            </w:r>
          </w:p>
        </w:tc>
      </w:tr>
      <w:tr w:rsidR="00333AC0" w:rsidRPr="002266FB" w14:paraId="20643A37" w14:textId="77777777" w:rsidTr="00011A05">
        <w:trPr>
          <w:trHeight w:val="283"/>
          <w:jc w:val="center"/>
        </w:trPr>
        <w:tc>
          <w:tcPr>
            <w:tcW w:w="1632" w:type="dxa"/>
            <w:shd w:val="clear" w:color="auto" w:fill="EAF1DD" w:themeFill="accent3" w:themeFillTint="33"/>
            <w:vAlign w:val="center"/>
          </w:tcPr>
          <w:p w14:paraId="20643A31" w14:textId="77777777" w:rsidR="00333AC0" w:rsidRPr="00AF0496" w:rsidRDefault="00333AC0" w:rsidP="00011A05">
            <w:pPr>
              <w:autoSpaceDE w:val="0"/>
              <w:autoSpaceDN w:val="0"/>
              <w:adjustRightInd w:val="0"/>
              <w:jc w:val="center"/>
              <w:rPr>
                <w:rFonts w:eastAsia="Batang" w:cs="Arial"/>
                <w:bCs/>
                <w:color w:val="000000" w:themeColor="text1"/>
                <w:szCs w:val="20"/>
              </w:rPr>
            </w:pPr>
            <w:r w:rsidRPr="00444729">
              <w:rPr>
                <w:rFonts w:eastAsia="Batang" w:cs="Arial"/>
                <w:bCs/>
                <w:color w:val="000000" w:themeColor="text1"/>
                <w:sz w:val="20"/>
                <w:szCs w:val="20"/>
              </w:rPr>
              <w:t>BC</w:t>
            </w:r>
            <w:r w:rsidRPr="00444729">
              <w:rPr>
                <w:rFonts w:eastAsia="Batang" w:cs="Arial"/>
                <w:bCs/>
                <w:color w:val="000000" w:themeColor="text1"/>
                <w:sz w:val="20"/>
                <w:szCs w:val="20"/>
                <w:vertAlign w:val="subscript"/>
              </w:rPr>
              <w:t>5</w:t>
            </w:r>
            <w:r w:rsidRPr="00444729">
              <w:rPr>
                <w:rFonts w:eastAsia="Batang" w:cs="Arial"/>
                <w:bCs/>
                <w:color w:val="000000" w:themeColor="text1"/>
                <w:sz w:val="20"/>
                <w:szCs w:val="20"/>
              </w:rPr>
              <w:t>F</w:t>
            </w:r>
            <w:r>
              <w:rPr>
                <w:rFonts w:eastAsia="Batang" w:cs="Arial"/>
                <w:bCs/>
                <w:color w:val="000000" w:themeColor="text1"/>
                <w:sz w:val="20"/>
                <w:szCs w:val="20"/>
                <w:vertAlign w:val="subscript"/>
              </w:rPr>
              <w:t>2</w:t>
            </w:r>
            <w:r w:rsidRPr="00444729">
              <w:rPr>
                <w:rFonts w:eastAsia="Batang" w:cs="Arial"/>
                <w:bCs/>
                <w:color w:val="000000" w:themeColor="text1"/>
                <w:sz w:val="20"/>
                <w:szCs w:val="20"/>
              </w:rPr>
              <w:t>*</w:t>
            </w:r>
            <w:r w:rsidRPr="00444729">
              <w:rPr>
                <w:rFonts w:eastAsia="Batang" w:cs="Arial"/>
                <w:bCs/>
                <w:color w:val="000000" w:themeColor="text1"/>
                <w:sz w:val="20"/>
                <w:szCs w:val="20"/>
                <w:vertAlign w:val="superscript"/>
              </w:rPr>
              <w:t>1</w:t>
            </w:r>
          </w:p>
        </w:tc>
        <w:tc>
          <w:tcPr>
            <w:tcW w:w="1003" w:type="dxa"/>
            <w:shd w:val="clear" w:color="auto" w:fill="EAF1DD" w:themeFill="accent3" w:themeFillTint="33"/>
            <w:vAlign w:val="center"/>
          </w:tcPr>
          <w:p w14:paraId="20643A32"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99</w:t>
            </w:r>
          </w:p>
        </w:tc>
        <w:tc>
          <w:tcPr>
            <w:tcW w:w="2063" w:type="dxa"/>
            <w:shd w:val="clear" w:color="auto" w:fill="EAF1DD" w:themeFill="accent3" w:themeFillTint="33"/>
            <w:vAlign w:val="center"/>
          </w:tcPr>
          <w:p w14:paraId="20643A33"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72</w:t>
            </w:r>
            <w:r w:rsidRPr="001341FF">
              <w:rPr>
                <w:rFonts w:cs="Arial"/>
                <w:color w:val="000000" w:themeColor="text1"/>
                <w:sz w:val="20"/>
                <w:szCs w:val="20"/>
                <w:lang w:eastAsia="en-GB"/>
              </w:rPr>
              <w:t>:</w:t>
            </w:r>
            <w:r w:rsidRPr="001341FF">
              <w:rPr>
                <w:rFonts w:cs="Arial"/>
                <w:color w:val="FF0000"/>
                <w:sz w:val="20"/>
                <w:szCs w:val="20"/>
                <w:lang w:eastAsia="en-GB"/>
              </w:rPr>
              <w:t>2</w:t>
            </w:r>
            <w:r>
              <w:rPr>
                <w:rFonts w:cs="Arial"/>
                <w:color w:val="FF0000"/>
                <w:sz w:val="20"/>
                <w:szCs w:val="20"/>
                <w:lang w:eastAsia="en-GB"/>
              </w:rPr>
              <w:t>7</w:t>
            </w:r>
          </w:p>
        </w:tc>
        <w:tc>
          <w:tcPr>
            <w:tcW w:w="1457" w:type="dxa"/>
            <w:shd w:val="clear" w:color="auto" w:fill="EAF1DD" w:themeFill="accent3" w:themeFillTint="33"/>
            <w:vAlign w:val="center"/>
          </w:tcPr>
          <w:p w14:paraId="20643A34"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74.25</w:t>
            </w:r>
            <w:r w:rsidRPr="001341FF">
              <w:rPr>
                <w:rFonts w:cs="Arial"/>
                <w:color w:val="000000" w:themeColor="text1"/>
                <w:sz w:val="20"/>
                <w:szCs w:val="20"/>
                <w:lang w:eastAsia="en-GB"/>
              </w:rPr>
              <w:t>:</w:t>
            </w:r>
            <w:r>
              <w:rPr>
                <w:rFonts w:cs="Arial"/>
                <w:color w:val="FF0000"/>
                <w:sz w:val="20"/>
                <w:szCs w:val="20"/>
                <w:lang w:eastAsia="en-GB"/>
              </w:rPr>
              <w:t>24.75</w:t>
            </w:r>
          </w:p>
        </w:tc>
        <w:tc>
          <w:tcPr>
            <w:tcW w:w="1095" w:type="dxa"/>
            <w:shd w:val="clear" w:color="auto" w:fill="EAF1DD" w:themeFill="accent3" w:themeFillTint="33"/>
            <w:vAlign w:val="center"/>
          </w:tcPr>
          <w:p w14:paraId="20643A35"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0.273</w:t>
            </w:r>
          </w:p>
        </w:tc>
        <w:tc>
          <w:tcPr>
            <w:tcW w:w="1985" w:type="dxa"/>
            <w:shd w:val="clear" w:color="auto" w:fill="EAF1DD" w:themeFill="accent3" w:themeFillTint="33"/>
            <w:vAlign w:val="center"/>
          </w:tcPr>
          <w:p w14:paraId="20643A36"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0.6015 (NS)</w:t>
            </w:r>
          </w:p>
        </w:tc>
      </w:tr>
      <w:tr w:rsidR="00333AC0" w:rsidRPr="002266FB" w14:paraId="20643A3E" w14:textId="77777777" w:rsidTr="00011A05">
        <w:trPr>
          <w:trHeight w:val="283"/>
          <w:jc w:val="center"/>
        </w:trPr>
        <w:tc>
          <w:tcPr>
            <w:tcW w:w="1632" w:type="dxa"/>
            <w:vAlign w:val="center"/>
          </w:tcPr>
          <w:p w14:paraId="20643A38" w14:textId="77777777" w:rsidR="00333AC0" w:rsidRPr="00AF0496" w:rsidRDefault="00333AC0" w:rsidP="00011A05">
            <w:pPr>
              <w:autoSpaceDE w:val="0"/>
              <w:autoSpaceDN w:val="0"/>
              <w:adjustRightInd w:val="0"/>
              <w:jc w:val="center"/>
              <w:rPr>
                <w:rFonts w:eastAsia="Batang" w:cs="Arial"/>
                <w:bCs/>
                <w:color w:val="000000" w:themeColor="text1"/>
                <w:szCs w:val="20"/>
              </w:rPr>
            </w:pPr>
            <w:r w:rsidRPr="00444729">
              <w:rPr>
                <w:rFonts w:eastAsia="Batang" w:cs="Arial"/>
                <w:bCs/>
                <w:color w:val="000000" w:themeColor="text1"/>
                <w:sz w:val="20"/>
                <w:szCs w:val="20"/>
              </w:rPr>
              <w:t>BC</w:t>
            </w:r>
            <w:r w:rsidRPr="00444729">
              <w:rPr>
                <w:rFonts w:eastAsia="Batang" w:cs="Arial"/>
                <w:bCs/>
                <w:color w:val="000000" w:themeColor="text1"/>
                <w:sz w:val="20"/>
                <w:szCs w:val="20"/>
                <w:vertAlign w:val="subscript"/>
              </w:rPr>
              <w:t>5</w:t>
            </w:r>
            <w:r w:rsidRPr="00444729">
              <w:rPr>
                <w:rFonts w:eastAsia="Batang" w:cs="Arial"/>
                <w:bCs/>
                <w:color w:val="000000" w:themeColor="text1"/>
                <w:sz w:val="20"/>
                <w:szCs w:val="20"/>
              </w:rPr>
              <w:t>F</w:t>
            </w:r>
            <w:r>
              <w:rPr>
                <w:rFonts w:eastAsia="Batang" w:cs="Arial"/>
                <w:bCs/>
                <w:color w:val="000000" w:themeColor="text1"/>
                <w:sz w:val="20"/>
                <w:szCs w:val="20"/>
                <w:vertAlign w:val="subscript"/>
              </w:rPr>
              <w:t>2</w:t>
            </w:r>
            <w:r w:rsidRPr="00444729">
              <w:rPr>
                <w:rFonts w:eastAsia="Batang" w:cs="Arial"/>
                <w:bCs/>
                <w:color w:val="000000" w:themeColor="text1"/>
                <w:sz w:val="20"/>
                <w:szCs w:val="20"/>
              </w:rPr>
              <w:t>*</w:t>
            </w:r>
            <w:r w:rsidRPr="00444729">
              <w:rPr>
                <w:rFonts w:eastAsia="Batang" w:cs="Arial"/>
                <w:bCs/>
                <w:color w:val="000000" w:themeColor="text1"/>
                <w:sz w:val="20"/>
                <w:szCs w:val="20"/>
                <w:vertAlign w:val="superscript"/>
              </w:rPr>
              <w:t>1</w:t>
            </w:r>
          </w:p>
        </w:tc>
        <w:tc>
          <w:tcPr>
            <w:tcW w:w="1003" w:type="dxa"/>
            <w:vAlign w:val="center"/>
          </w:tcPr>
          <w:p w14:paraId="20643A39"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100</w:t>
            </w:r>
          </w:p>
        </w:tc>
        <w:tc>
          <w:tcPr>
            <w:tcW w:w="2063" w:type="dxa"/>
            <w:vAlign w:val="center"/>
          </w:tcPr>
          <w:p w14:paraId="20643A3A"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70</w:t>
            </w:r>
            <w:r w:rsidRPr="001341FF">
              <w:rPr>
                <w:rFonts w:cs="Arial"/>
                <w:color w:val="000000" w:themeColor="text1"/>
                <w:sz w:val="20"/>
                <w:szCs w:val="20"/>
                <w:lang w:eastAsia="en-GB"/>
              </w:rPr>
              <w:t>:</w:t>
            </w:r>
            <w:r>
              <w:rPr>
                <w:rFonts w:cs="Arial"/>
                <w:color w:val="FF0000"/>
                <w:sz w:val="20"/>
                <w:szCs w:val="20"/>
                <w:lang w:eastAsia="en-GB"/>
              </w:rPr>
              <w:t>30</w:t>
            </w:r>
          </w:p>
        </w:tc>
        <w:tc>
          <w:tcPr>
            <w:tcW w:w="1457" w:type="dxa"/>
            <w:vAlign w:val="center"/>
          </w:tcPr>
          <w:p w14:paraId="20643A3B" w14:textId="77777777" w:rsidR="00333AC0" w:rsidRDefault="00333AC0" w:rsidP="00011A05">
            <w:pPr>
              <w:autoSpaceDE w:val="0"/>
              <w:autoSpaceDN w:val="0"/>
              <w:adjustRightInd w:val="0"/>
              <w:jc w:val="center"/>
              <w:rPr>
                <w:rFonts w:cs="Arial"/>
                <w:color w:val="00B050"/>
                <w:sz w:val="20"/>
                <w:szCs w:val="20"/>
                <w:lang w:eastAsia="en-GB"/>
              </w:rPr>
            </w:pPr>
            <w:r>
              <w:rPr>
                <w:rFonts w:cs="Arial"/>
                <w:color w:val="00B050"/>
                <w:sz w:val="20"/>
                <w:szCs w:val="20"/>
                <w:lang w:eastAsia="en-GB"/>
              </w:rPr>
              <w:t>75</w:t>
            </w:r>
            <w:r w:rsidRPr="001341FF">
              <w:rPr>
                <w:rFonts w:cs="Arial"/>
                <w:color w:val="000000" w:themeColor="text1"/>
                <w:sz w:val="20"/>
                <w:szCs w:val="20"/>
                <w:lang w:eastAsia="en-GB"/>
              </w:rPr>
              <w:t>:</w:t>
            </w:r>
            <w:r>
              <w:rPr>
                <w:rFonts w:cs="Arial"/>
                <w:color w:val="FF0000"/>
                <w:sz w:val="20"/>
                <w:szCs w:val="20"/>
                <w:lang w:eastAsia="en-GB"/>
              </w:rPr>
              <w:t>25</w:t>
            </w:r>
          </w:p>
        </w:tc>
        <w:tc>
          <w:tcPr>
            <w:tcW w:w="1095" w:type="dxa"/>
            <w:vAlign w:val="center"/>
          </w:tcPr>
          <w:p w14:paraId="20643A3C"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1.333</w:t>
            </w:r>
          </w:p>
        </w:tc>
        <w:tc>
          <w:tcPr>
            <w:tcW w:w="1985" w:type="dxa"/>
            <w:vAlign w:val="center"/>
          </w:tcPr>
          <w:p w14:paraId="20643A3D" w14:textId="77777777" w:rsidR="00333AC0" w:rsidRDefault="00333AC0" w:rsidP="00011A05">
            <w:pPr>
              <w:autoSpaceDE w:val="0"/>
              <w:autoSpaceDN w:val="0"/>
              <w:adjustRightInd w:val="0"/>
              <w:jc w:val="center"/>
              <w:rPr>
                <w:rFonts w:cs="Arial"/>
                <w:color w:val="000000" w:themeColor="text1"/>
                <w:sz w:val="20"/>
                <w:szCs w:val="20"/>
                <w:lang w:eastAsia="en-GB"/>
              </w:rPr>
            </w:pPr>
            <w:r>
              <w:rPr>
                <w:rFonts w:cs="Arial"/>
                <w:color w:val="000000" w:themeColor="text1"/>
                <w:sz w:val="20"/>
                <w:szCs w:val="20"/>
                <w:lang w:eastAsia="en-GB"/>
              </w:rPr>
              <w:t>0.2482 (NS)</w:t>
            </w:r>
          </w:p>
        </w:tc>
      </w:tr>
    </w:tbl>
    <w:p w14:paraId="20643A3F" w14:textId="77777777" w:rsidR="00333AC0" w:rsidRPr="001341FF" w:rsidRDefault="00333AC0" w:rsidP="00011A05">
      <w:pPr>
        <w:autoSpaceDE w:val="0"/>
        <w:autoSpaceDN w:val="0"/>
        <w:adjustRightInd w:val="0"/>
        <w:rPr>
          <w:rFonts w:cs="Arial"/>
          <w:color w:val="000000" w:themeColor="text1"/>
          <w:sz w:val="20"/>
          <w:szCs w:val="20"/>
          <w:lang w:eastAsia="en-GB"/>
        </w:rPr>
      </w:pPr>
      <w:r w:rsidRPr="00715E2E">
        <w:rPr>
          <w:rFonts w:cs="Arial"/>
          <w:color w:val="000000" w:themeColor="text1"/>
          <w:sz w:val="20"/>
          <w:szCs w:val="20"/>
          <w:vertAlign w:val="superscript"/>
          <w:lang w:eastAsia="en-GB"/>
        </w:rPr>
        <w:t>1</w:t>
      </w:r>
      <w:r w:rsidRPr="00715E2E">
        <w:rPr>
          <w:rFonts w:cs="Arial"/>
          <w:color w:val="000000" w:themeColor="text1"/>
          <w:sz w:val="20"/>
          <w:szCs w:val="20"/>
          <w:lang w:eastAsia="en-GB"/>
        </w:rPr>
        <w:t xml:space="preserve">NS = not </w:t>
      </w:r>
      <w:r w:rsidRPr="004556B9">
        <w:rPr>
          <w:rFonts w:cs="Arial"/>
          <w:color w:val="000000" w:themeColor="text1"/>
          <w:sz w:val="20"/>
          <w:szCs w:val="20"/>
          <w:lang w:eastAsia="en-GB"/>
        </w:rPr>
        <w:t>significant - P&lt;0.05 (Χ</w:t>
      </w:r>
      <w:r w:rsidRPr="004556B9">
        <w:rPr>
          <w:rFonts w:cs="Arial"/>
          <w:color w:val="000000" w:themeColor="text1"/>
          <w:sz w:val="20"/>
          <w:szCs w:val="20"/>
          <w:vertAlign w:val="superscript"/>
          <w:lang w:eastAsia="en-GB"/>
        </w:rPr>
        <w:t>2</w:t>
      </w:r>
      <w:r w:rsidRPr="004556B9">
        <w:rPr>
          <w:rFonts w:cs="Arial"/>
          <w:color w:val="000000" w:themeColor="text1"/>
          <w:sz w:val="20"/>
          <w:szCs w:val="20"/>
          <w:lang w:eastAsia="en-GB"/>
        </w:rPr>
        <w:t>&lt;3.84)</w:t>
      </w:r>
    </w:p>
    <w:p w14:paraId="20643A40" w14:textId="77777777" w:rsidR="00333AC0" w:rsidRPr="00507536" w:rsidRDefault="00333AC0" w:rsidP="00011A05">
      <w:pPr>
        <w:pStyle w:val="Heading2"/>
        <w:rPr>
          <w:color w:val="000000" w:themeColor="text1"/>
        </w:rPr>
      </w:pPr>
      <w:bookmarkStart w:id="39" w:name="_Toc470008720"/>
      <w:r w:rsidRPr="00507536">
        <w:rPr>
          <w:color w:val="000000" w:themeColor="text1"/>
        </w:rPr>
        <w:t>3.6</w:t>
      </w:r>
      <w:r w:rsidRPr="00507536">
        <w:rPr>
          <w:color w:val="000000" w:themeColor="text1"/>
        </w:rPr>
        <w:tab/>
        <w:t>Antibiotic resistance marker genes</w:t>
      </w:r>
      <w:bookmarkEnd w:id="30"/>
      <w:bookmarkEnd w:id="39"/>
    </w:p>
    <w:p w14:paraId="20643A41" w14:textId="77777777" w:rsidR="00333AC0" w:rsidRPr="00507536" w:rsidRDefault="00333AC0" w:rsidP="00011A05">
      <w:pPr>
        <w:rPr>
          <w:rFonts w:cs="Arial"/>
          <w:color w:val="000000" w:themeColor="text1"/>
          <w:szCs w:val="22"/>
        </w:rPr>
      </w:pPr>
      <w:r w:rsidRPr="00507536">
        <w:rPr>
          <w:rFonts w:cs="Arial"/>
          <w:color w:val="000000" w:themeColor="text1"/>
          <w:szCs w:val="22"/>
        </w:rPr>
        <w:t xml:space="preserve">No antibiotic marker genes are present in GR2E. The insert sequence </w:t>
      </w:r>
      <w:r w:rsidRPr="00B275D4">
        <w:rPr>
          <w:rFonts w:cs="Arial"/>
          <w:color w:val="000000" w:themeColor="text1"/>
          <w:szCs w:val="22"/>
        </w:rPr>
        <w:t>analysis (Section 3.4.1.3) showed no plasmid backbone sequences had been integrated into the GR2E</w:t>
      </w:r>
      <w:r w:rsidRPr="00507536">
        <w:rPr>
          <w:rFonts w:cs="Arial"/>
          <w:color w:val="000000" w:themeColor="text1"/>
          <w:szCs w:val="22"/>
        </w:rPr>
        <w:t xml:space="preserve"> genome during transformation.</w:t>
      </w:r>
    </w:p>
    <w:p w14:paraId="20643A42" w14:textId="77777777" w:rsidR="00333AC0" w:rsidRPr="00507536" w:rsidRDefault="00333AC0" w:rsidP="00011A05">
      <w:pPr>
        <w:pStyle w:val="Heading2"/>
        <w:rPr>
          <w:color w:val="000000" w:themeColor="text1"/>
        </w:rPr>
      </w:pPr>
      <w:bookmarkStart w:id="40" w:name="_Toc470008721"/>
      <w:r w:rsidRPr="00507536">
        <w:rPr>
          <w:color w:val="000000" w:themeColor="text1"/>
        </w:rPr>
        <w:t>3.7</w:t>
      </w:r>
      <w:r w:rsidRPr="00507536">
        <w:rPr>
          <w:color w:val="000000" w:themeColor="text1"/>
        </w:rPr>
        <w:tab/>
        <w:t>Conclusion</w:t>
      </w:r>
      <w:bookmarkEnd w:id="40"/>
    </w:p>
    <w:p w14:paraId="20643A43" w14:textId="77777777" w:rsidR="00333AC0" w:rsidRPr="00507536" w:rsidRDefault="00333AC0" w:rsidP="00011A05">
      <w:pPr>
        <w:pStyle w:val="BodyText"/>
        <w:rPr>
          <w:rFonts w:cs="Arial"/>
          <w:i/>
          <w:color w:val="000000" w:themeColor="text1"/>
          <w:szCs w:val="22"/>
          <w:lang w:val="en-US"/>
        </w:rPr>
      </w:pPr>
      <w:r w:rsidRPr="00507536">
        <w:rPr>
          <w:color w:val="000000" w:themeColor="text1"/>
        </w:rPr>
        <w:t xml:space="preserve">GR2E was generated through </w:t>
      </w:r>
      <w:r w:rsidRPr="00507536">
        <w:rPr>
          <w:i/>
          <w:color w:val="000000" w:themeColor="text1"/>
        </w:rPr>
        <w:t>Agrobacterium</w:t>
      </w:r>
      <w:r w:rsidRPr="00507536">
        <w:rPr>
          <w:color w:val="000000" w:themeColor="text1"/>
        </w:rPr>
        <w:t xml:space="preserve">-mediated transformation with a single T-DNA containing three expression cassettes. </w:t>
      </w:r>
      <w:r w:rsidRPr="00507536">
        <w:rPr>
          <w:rFonts w:cs="Arial"/>
          <w:color w:val="000000" w:themeColor="text1"/>
          <w:szCs w:val="22"/>
          <w:lang w:val="en-US"/>
        </w:rPr>
        <w:t xml:space="preserve">Comprehensive molecular analyses indicate there is a single insertion site </w:t>
      </w:r>
      <w:r w:rsidRPr="00507536">
        <w:rPr>
          <w:rFonts w:cs="Arial"/>
          <w:color w:val="000000" w:themeColor="text1"/>
          <w:szCs w:val="22"/>
        </w:rPr>
        <w:t xml:space="preserve">comprising a single, complete copy of each of the </w:t>
      </w:r>
      <w:r w:rsidRPr="00507536">
        <w:rPr>
          <w:i/>
          <w:color w:val="000000" w:themeColor="text1"/>
          <w:szCs w:val="22"/>
        </w:rPr>
        <w:t>Zmpsy1, SSU-crtI</w:t>
      </w:r>
      <w:r>
        <w:rPr>
          <w:color w:val="000000" w:themeColor="text1"/>
          <w:szCs w:val="22"/>
        </w:rPr>
        <w:t xml:space="preserve"> and </w:t>
      </w:r>
      <w:r w:rsidRPr="00507536">
        <w:rPr>
          <w:i/>
          <w:color w:val="000000" w:themeColor="text1"/>
          <w:szCs w:val="22"/>
        </w:rPr>
        <w:t>pmi</w:t>
      </w:r>
      <w:r w:rsidRPr="00507536">
        <w:rPr>
          <w:color w:val="000000" w:themeColor="text1"/>
          <w:szCs w:val="22"/>
        </w:rPr>
        <w:t xml:space="preserve"> genes</w:t>
      </w:r>
      <w:r w:rsidRPr="00507536">
        <w:rPr>
          <w:color w:val="000000" w:themeColor="text1"/>
        </w:rPr>
        <w:t xml:space="preserve"> with their regulatory elements</w:t>
      </w:r>
      <w:r w:rsidRPr="00507536">
        <w:rPr>
          <w:rFonts w:cs="Arial"/>
          <w:color w:val="000000" w:themeColor="text1"/>
          <w:szCs w:val="22"/>
        </w:rPr>
        <w:t xml:space="preserve">. </w:t>
      </w:r>
      <w:r w:rsidRPr="00507536">
        <w:rPr>
          <w:rFonts w:cs="Arial"/>
          <w:color w:val="000000" w:themeColor="text1"/>
          <w:szCs w:val="22"/>
          <w:lang w:val="en-US"/>
        </w:rPr>
        <w:t xml:space="preserve">The introduced genes are stably inherited from one generation to the next. </w:t>
      </w:r>
    </w:p>
    <w:p w14:paraId="20643A44" w14:textId="77777777" w:rsidR="00333AC0" w:rsidRPr="00507536" w:rsidRDefault="00333AC0" w:rsidP="00011A05">
      <w:pPr>
        <w:pStyle w:val="BodyText"/>
        <w:rPr>
          <w:rFonts w:cs="Arial"/>
          <w:i/>
          <w:color w:val="000000" w:themeColor="text1"/>
          <w:szCs w:val="22"/>
        </w:rPr>
      </w:pPr>
      <w:r w:rsidRPr="00507536">
        <w:rPr>
          <w:rFonts w:eastAsia="Batang" w:cs="Arial"/>
          <w:color w:val="000000" w:themeColor="text1"/>
          <w:szCs w:val="22"/>
        </w:rPr>
        <w:t xml:space="preserve">There are no antibiotic resistance marker genes present in the line and </w:t>
      </w:r>
      <w:r w:rsidRPr="00507536">
        <w:rPr>
          <w:rFonts w:cs="Arial"/>
          <w:color w:val="000000" w:themeColor="text1"/>
          <w:szCs w:val="22"/>
        </w:rPr>
        <w:t>no plasmid backbone has been incorporated into the transgenic locus.</w:t>
      </w:r>
    </w:p>
    <w:p w14:paraId="20643A45" w14:textId="77777777" w:rsidR="00333AC0" w:rsidRPr="00507536" w:rsidRDefault="00333AC0" w:rsidP="00011A05">
      <w:pPr>
        <w:rPr>
          <w:rFonts w:eastAsiaTheme="minorHAnsi" w:cs="Arial"/>
          <w:i/>
          <w:color w:val="000000" w:themeColor="text1"/>
          <w:szCs w:val="22"/>
        </w:rPr>
      </w:pPr>
    </w:p>
    <w:p w14:paraId="20643A46" w14:textId="77777777" w:rsidR="00333AC0" w:rsidRPr="00507536" w:rsidRDefault="00333AC0" w:rsidP="00011A05">
      <w:pPr>
        <w:pStyle w:val="Heading1"/>
        <w:ind w:left="720" w:hanging="720"/>
        <w:jc w:val="both"/>
        <w:rPr>
          <w:color w:val="000000" w:themeColor="text1"/>
          <w:szCs w:val="36"/>
        </w:rPr>
      </w:pPr>
      <w:bookmarkStart w:id="41" w:name="_Toc470008722"/>
      <w:r w:rsidRPr="00507536">
        <w:rPr>
          <w:color w:val="000000" w:themeColor="text1"/>
          <w:szCs w:val="36"/>
        </w:rPr>
        <w:t>4</w:t>
      </w:r>
      <w:r w:rsidRPr="00507536">
        <w:rPr>
          <w:color w:val="000000" w:themeColor="text1"/>
          <w:szCs w:val="36"/>
        </w:rPr>
        <w:tab/>
        <w:t>Characterisation and safety assessment of new substances</w:t>
      </w:r>
      <w:bookmarkEnd w:id="41"/>
    </w:p>
    <w:p w14:paraId="20643A47" w14:textId="77777777" w:rsidR="00333AC0" w:rsidRPr="000A3150" w:rsidRDefault="00333AC0" w:rsidP="00011A05">
      <w:pPr>
        <w:rPr>
          <w:rFonts w:cs="Arial"/>
          <w:color w:val="000000" w:themeColor="text1"/>
          <w:szCs w:val="22"/>
          <w:lang w:eastAsia="en-GB" w:bidi="ar-SA"/>
        </w:rPr>
      </w:pPr>
      <w:r w:rsidRPr="000A3150">
        <w:rPr>
          <w:rFonts w:cs="Arial"/>
          <w:color w:val="000000" w:themeColor="text1"/>
          <w:szCs w:val="22"/>
        </w:rPr>
        <w:t>The main purpose of the characterisation is to describe the nature of any new substances and their phenotypic and biochemical effects on the organism in which they are expressed, particularly in the parts of the organism consumed as food. Typically, the main focus of the characterisation is on newly expressed (or potentially expressed) proteins, but other (non-protein) substances may need to be considered.</w:t>
      </w:r>
    </w:p>
    <w:p w14:paraId="20643A49" w14:textId="77777777" w:rsidR="00333AC0" w:rsidRDefault="00333AC0" w:rsidP="00011A05">
      <w:pPr>
        <w:pStyle w:val="Heading2"/>
        <w:rPr>
          <w:color w:val="000000" w:themeColor="text1"/>
        </w:rPr>
      </w:pPr>
      <w:bookmarkStart w:id="42" w:name="_Toc470008723"/>
      <w:r>
        <w:rPr>
          <w:color w:val="000000" w:themeColor="text1"/>
        </w:rPr>
        <w:t>4.1 Newly expressed proteins</w:t>
      </w:r>
      <w:bookmarkEnd w:id="42"/>
    </w:p>
    <w:p w14:paraId="20643A4A" w14:textId="77777777" w:rsidR="00333AC0" w:rsidRPr="00C92434" w:rsidRDefault="00333AC0" w:rsidP="00011A05">
      <w:pPr>
        <w:rPr>
          <w:rFonts w:cs="Arial"/>
          <w:color w:val="000000" w:themeColor="text1"/>
          <w:szCs w:val="22"/>
        </w:rPr>
      </w:pPr>
      <w:r w:rsidRPr="00C92434">
        <w:rPr>
          <w:rFonts w:cs="Arial"/>
          <w:color w:val="000000" w:themeColor="text1"/>
          <w:szCs w:val="22"/>
        </w:rPr>
        <w:t xml:space="preserve">In considering the safety of newly expressed proteins it is important to note that a large and diverse range of proteins are ingested as part of the normal human diet without any adverse effects, although a small number have the potential to impair health, e.g., because they are allergens or anti-nutrients </w:t>
      </w:r>
      <w:r w:rsidRPr="00C92434">
        <w:rPr>
          <w:rFonts w:cs="Arial"/>
          <w:noProof/>
          <w:color w:val="000000" w:themeColor="text1"/>
          <w:szCs w:val="22"/>
        </w:rPr>
        <w:t>(Delaney et al. 2008)</w:t>
      </w:r>
      <w:r w:rsidRPr="00C92434">
        <w:rPr>
          <w:rFonts w:cs="Arial"/>
          <w:color w:val="000000" w:themeColor="text1"/>
          <w:szCs w:val="22"/>
        </w:rPr>
        <w:t>. As proteins perform a wide variety of functions, different possible effects have to be considered during the safety assessment including potential toxic, anti-nutritional and allergenic effects. To effectively identify any potential hazards requires knowledge of the characteristics, concentration and localisation of all newly expressed proteins in the organism as well as a detailed understanding of their biochemical function and phenotypic effects. It is also important to determine if the newly expressed protein</w:t>
      </w:r>
      <w:r>
        <w:rPr>
          <w:rFonts w:cs="Arial"/>
          <w:color w:val="000000" w:themeColor="text1"/>
          <w:szCs w:val="22"/>
        </w:rPr>
        <w:t>s are</w:t>
      </w:r>
      <w:r w:rsidRPr="00C92434">
        <w:rPr>
          <w:rFonts w:cs="Arial"/>
          <w:color w:val="000000" w:themeColor="text1"/>
          <w:szCs w:val="22"/>
        </w:rPr>
        <w:t xml:space="preserve"> expressed as expected, including whether any post-translational modifications have occurred.</w:t>
      </w:r>
    </w:p>
    <w:p w14:paraId="20643A4B" w14:textId="77777777" w:rsidR="00333AC0" w:rsidRPr="00C92434" w:rsidRDefault="00333AC0" w:rsidP="00011A05">
      <w:pPr>
        <w:rPr>
          <w:rFonts w:cs="Arial"/>
          <w:color w:val="000000" w:themeColor="text1"/>
          <w:szCs w:val="22"/>
        </w:rPr>
      </w:pPr>
    </w:p>
    <w:p w14:paraId="20643A4C" w14:textId="77777777" w:rsidR="00333AC0" w:rsidRPr="00C92434" w:rsidRDefault="00333AC0" w:rsidP="00011A05">
      <w:pPr>
        <w:rPr>
          <w:rFonts w:cs="Arial"/>
          <w:color w:val="000000" w:themeColor="text1"/>
          <w:szCs w:val="22"/>
        </w:rPr>
      </w:pPr>
      <w:r w:rsidRPr="00C92434">
        <w:rPr>
          <w:rFonts w:cs="Arial"/>
          <w:color w:val="000000" w:themeColor="text1"/>
          <w:szCs w:val="22"/>
        </w:rPr>
        <w:t>Two types of proteins were considered:</w:t>
      </w:r>
    </w:p>
    <w:p w14:paraId="20643A4D" w14:textId="77777777" w:rsidR="00333AC0" w:rsidRPr="00C92434" w:rsidRDefault="00333AC0" w:rsidP="00011A05">
      <w:pPr>
        <w:rPr>
          <w:rFonts w:cs="Arial"/>
          <w:color w:val="000000" w:themeColor="text1"/>
          <w:szCs w:val="22"/>
        </w:rPr>
      </w:pPr>
    </w:p>
    <w:p w14:paraId="20643A4E" w14:textId="77777777" w:rsidR="00333AC0" w:rsidRPr="00C92434" w:rsidRDefault="00333AC0" w:rsidP="00011A05">
      <w:pPr>
        <w:pStyle w:val="FSBullet1"/>
      </w:pPr>
      <w:r w:rsidRPr="00C92434">
        <w:t>The protein</w:t>
      </w:r>
      <w:r>
        <w:t>s</w:t>
      </w:r>
      <w:r w:rsidRPr="00C92434">
        <w:t xml:space="preserve"> expected to be directly produced as a result of the translation of the introduced gene</w:t>
      </w:r>
      <w:r>
        <w:t>s</w:t>
      </w:r>
      <w:r w:rsidRPr="00C92434">
        <w:t>. A number of different analyses were done to</w:t>
      </w:r>
      <w:r>
        <w:t xml:space="preserve"> characterise these</w:t>
      </w:r>
      <w:r w:rsidRPr="00C92434">
        <w:t xml:space="preserve"> protein</w:t>
      </w:r>
      <w:r>
        <w:t>s</w:t>
      </w:r>
      <w:r w:rsidRPr="00C92434">
        <w:t xml:space="preserve"> and determine</w:t>
      </w:r>
      <w:r>
        <w:t xml:space="preserve"> their</w:t>
      </w:r>
      <w:r w:rsidRPr="00C92434">
        <w:t xml:space="preserve"> </w:t>
      </w:r>
      <w:r w:rsidRPr="00C92434">
        <w:rPr>
          <w:i/>
        </w:rPr>
        <w:t>in planta</w:t>
      </w:r>
      <w:r w:rsidRPr="00C92434">
        <w:t xml:space="preserve"> expression.</w:t>
      </w:r>
    </w:p>
    <w:p w14:paraId="20643A4F" w14:textId="77777777" w:rsidR="00333AC0" w:rsidRPr="00B275D4" w:rsidRDefault="00333AC0" w:rsidP="00011A05">
      <w:pPr>
        <w:pStyle w:val="FSBullet1"/>
      </w:pPr>
      <w:r w:rsidRPr="00C92434">
        <w:t xml:space="preserve">Those that may be potentially translated as a result of the creation of ORFs during the transformation process (see </w:t>
      </w:r>
      <w:r w:rsidRPr="00B275D4">
        <w:t>Section 3.4.4).</w:t>
      </w:r>
    </w:p>
    <w:p w14:paraId="20643A50" w14:textId="77777777" w:rsidR="00333AC0" w:rsidRDefault="00333AC0" w:rsidP="00011A05">
      <w:pPr>
        <w:pStyle w:val="Heading3"/>
      </w:pPr>
      <w:r>
        <w:t>4.1.1</w:t>
      </w:r>
      <w:r>
        <w:tab/>
        <w:t xml:space="preserve">The </w:t>
      </w:r>
      <w:r w:rsidRPr="005E54B4">
        <w:rPr>
          <w:i/>
        </w:rPr>
        <w:t>Zm</w:t>
      </w:r>
      <w:r>
        <w:t>PSY1 and CRTI proteins</w:t>
      </w:r>
    </w:p>
    <w:p w14:paraId="20643A51" w14:textId="77777777" w:rsidR="00333AC0" w:rsidRDefault="00333AC0" w:rsidP="00011A05">
      <w:pPr>
        <w:rPr>
          <w:rFonts w:cs="Arial"/>
          <w:szCs w:val="22"/>
          <w:lang w:eastAsia="en-GB" w:bidi="ar-SA"/>
        </w:rPr>
      </w:pPr>
      <w:r w:rsidRPr="00CF3795">
        <w:rPr>
          <w:rFonts w:cs="Arial"/>
          <w:color w:val="000000" w:themeColor="text1"/>
          <w:szCs w:val="22"/>
          <w:lang w:eastAsia="en-GB" w:bidi="ar-SA"/>
        </w:rPr>
        <w:t>Carotenoids in general play an essential role in plants such as protecting the photosynthetic apparatus and in hormone signalling</w:t>
      </w:r>
      <w:r>
        <w:rPr>
          <w:rFonts w:cs="Arial"/>
          <w:color w:val="000000" w:themeColor="text1"/>
          <w:szCs w:val="22"/>
          <w:lang w:eastAsia="en-GB" w:bidi="ar-SA"/>
        </w:rPr>
        <w:t xml:space="preserve"> </w:t>
      </w:r>
      <w:r>
        <w:rPr>
          <w:rFonts w:cs="Arial"/>
          <w:noProof/>
          <w:color w:val="000000" w:themeColor="text1"/>
          <w:szCs w:val="22"/>
          <w:lang w:eastAsia="en-GB" w:bidi="ar-SA"/>
        </w:rPr>
        <w:t>(Ruiz-Sola and Rodriguez-Concepcion 2012)</w:t>
      </w:r>
      <w:r w:rsidRPr="00CF3795">
        <w:rPr>
          <w:rFonts w:cs="Arial"/>
          <w:color w:val="000000" w:themeColor="text1"/>
          <w:szCs w:val="22"/>
          <w:lang w:eastAsia="en-GB" w:bidi="ar-SA"/>
        </w:rPr>
        <w:t xml:space="preserve">, but they also provide nutritional benefit to humans and </w:t>
      </w:r>
      <w:r>
        <w:rPr>
          <w:rFonts w:cs="Arial"/>
          <w:color w:val="000000" w:themeColor="text1"/>
          <w:szCs w:val="22"/>
          <w:lang w:eastAsia="en-GB" w:bidi="ar-SA"/>
        </w:rPr>
        <w:t xml:space="preserve">animals; with only a few exceptions, animals cannot synthesise carotenoids and therefore need to obtain them from the diet. Certain carotenoids, most importantly </w:t>
      </w:r>
      <w:r>
        <w:rPr>
          <w:rFonts w:cs="Arial"/>
          <w:szCs w:val="22"/>
          <w:lang w:eastAsia="en-GB" w:bidi="ar-SA"/>
        </w:rPr>
        <w:t xml:space="preserve">β-carotene, are cleaved to vitamin A within the body and are referred to as provitamin A </w:t>
      </w:r>
      <w:r>
        <w:rPr>
          <w:rFonts w:cs="Arial"/>
          <w:noProof/>
          <w:szCs w:val="22"/>
          <w:lang w:eastAsia="en-GB" w:bidi="ar-SA"/>
        </w:rPr>
        <w:t>(Yeum and Russell 2002)</w:t>
      </w:r>
      <w:r>
        <w:rPr>
          <w:rFonts w:cs="Arial"/>
          <w:szCs w:val="22"/>
          <w:lang w:eastAsia="en-GB" w:bidi="ar-SA"/>
        </w:rPr>
        <w:t xml:space="preserve">. Vitamin A deficiency can result in permanent blindness and other disorders </w:t>
      </w:r>
      <w:r>
        <w:rPr>
          <w:rFonts w:cs="Arial"/>
          <w:noProof/>
          <w:szCs w:val="22"/>
          <w:lang w:eastAsia="en-GB" w:bidi="ar-SA"/>
        </w:rPr>
        <w:t>(McLaren and Kraemer 2012)</w:t>
      </w:r>
      <w:r>
        <w:rPr>
          <w:rFonts w:cs="Arial"/>
          <w:szCs w:val="22"/>
          <w:lang w:eastAsia="en-GB" w:bidi="ar-SA"/>
        </w:rPr>
        <w:t>.</w:t>
      </w:r>
    </w:p>
    <w:p w14:paraId="20643A52" w14:textId="77777777" w:rsidR="00333AC0" w:rsidRPr="00CF3795" w:rsidRDefault="00333AC0" w:rsidP="00011A05">
      <w:pPr>
        <w:rPr>
          <w:color w:val="000000" w:themeColor="text1"/>
        </w:rPr>
      </w:pPr>
    </w:p>
    <w:p w14:paraId="20643A53" w14:textId="77777777" w:rsidR="00333AC0" w:rsidRDefault="00333AC0" w:rsidP="00011A05">
      <w:pPr>
        <w:rPr>
          <w:rFonts w:cs="Arial"/>
          <w:szCs w:val="22"/>
          <w:lang w:eastAsia="en-GB" w:bidi="ar-SA"/>
        </w:rPr>
      </w:pPr>
      <w:r>
        <w:rPr>
          <w:rFonts w:cs="Arial"/>
          <w:szCs w:val="22"/>
          <w:lang w:eastAsia="en-GB" w:bidi="ar-SA"/>
        </w:rPr>
        <w:t>Rice leaves produce and accumulate β-carotene</w:t>
      </w:r>
      <w:r w:rsidRPr="00604683">
        <w:rPr>
          <w:rFonts w:cs="Arial"/>
          <w:szCs w:val="22"/>
          <w:lang w:eastAsia="en-GB" w:bidi="ar-SA"/>
        </w:rPr>
        <w:t xml:space="preserve"> </w:t>
      </w:r>
      <w:r>
        <w:rPr>
          <w:rFonts w:cs="Arial"/>
          <w:szCs w:val="22"/>
          <w:lang w:eastAsia="en-GB" w:bidi="ar-SA"/>
        </w:rPr>
        <w:t xml:space="preserve">but milled rice (the usual form that is consumed in Asia) is characterised by the absence of provitamin A. </w:t>
      </w:r>
      <w:r w:rsidRPr="00604683">
        <w:rPr>
          <w:rFonts w:cs="Arial"/>
          <w:szCs w:val="22"/>
          <w:lang w:eastAsia="en-GB" w:bidi="ar-SA"/>
        </w:rPr>
        <w:t>The</w:t>
      </w:r>
      <w:r>
        <w:rPr>
          <w:rFonts w:cs="Arial"/>
          <w:szCs w:val="22"/>
          <w:lang w:eastAsia="en-GB" w:bidi="ar-SA"/>
        </w:rPr>
        <w:t xml:space="preserve"> plastids within rice endosperm naturally contain the lycopene precursor geranylgeranyl diphosphate (GGPP) a key isoprenoid that is the precursor for entry into biosynthetic pathways for a wide range of compounds, not only carotenoids (e.g. gibberellins, chlorophylls, isoprenoid quinones), considered necessary for plant growth </w:t>
      </w:r>
      <w:r>
        <w:rPr>
          <w:rFonts w:cs="Arial"/>
          <w:noProof/>
          <w:szCs w:val="22"/>
          <w:lang w:eastAsia="en-GB" w:bidi="ar-SA"/>
        </w:rPr>
        <w:t>(Okada et al. 2000)</w:t>
      </w:r>
      <w:r>
        <w:rPr>
          <w:rFonts w:cs="Arial"/>
          <w:szCs w:val="22"/>
          <w:lang w:eastAsia="en-GB" w:bidi="ar-SA"/>
        </w:rPr>
        <w:t xml:space="preserve">. Rice endosperm was thought to not naturally contain the four necessary enzymes (phytoene synthase, phytoene desaturase, ζ-carotene desaturase and lycopene β-cyclase) to facilitate the provitamin A biosynthetic </w:t>
      </w:r>
      <w:r w:rsidRPr="00B275D4">
        <w:rPr>
          <w:rFonts w:cs="Arial"/>
          <w:szCs w:val="22"/>
          <w:lang w:eastAsia="en-GB" w:bidi="ar-SA"/>
        </w:rPr>
        <w:t>pathway (Figure 7). The</w:t>
      </w:r>
      <w:r>
        <w:rPr>
          <w:rFonts w:cs="Arial"/>
          <w:szCs w:val="22"/>
          <w:lang w:eastAsia="en-GB" w:bidi="ar-SA"/>
        </w:rPr>
        <w:t xml:space="preserve"> formation of phytoene is the first critical step in the pathway.</w:t>
      </w:r>
    </w:p>
    <w:p w14:paraId="20643A54" w14:textId="77777777" w:rsidR="00333AC0" w:rsidRDefault="00333AC0" w:rsidP="00011A05">
      <w:pPr>
        <w:rPr>
          <w:rFonts w:cs="Arial"/>
          <w:szCs w:val="22"/>
          <w:lang w:eastAsia="en-GB" w:bidi="ar-SA"/>
        </w:rPr>
      </w:pPr>
    </w:p>
    <w:p w14:paraId="20643A55" w14:textId="77777777" w:rsidR="00333AC0" w:rsidRDefault="00333AC0" w:rsidP="00011A05">
      <w:pPr>
        <w:rPr>
          <w:rFonts w:cs="Arial"/>
          <w:szCs w:val="22"/>
          <w:lang w:eastAsia="en-GB" w:bidi="ar-SA"/>
        </w:rPr>
      </w:pPr>
      <w:r>
        <w:rPr>
          <w:rFonts w:cs="Arial"/>
          <w:szCs w:val="22"/>
          <w:lang w:eastAsia="en-GB" w:bidi="ar-SA"/>
        </w:rPr>
        <w:t xml:space="preserve">The Golden Rice project aimed to engineer the pathway by introducing three enzymes – phytoene synthase, lycopene β-cyclase, and a carotene desaturase (from a non-photosynthetic bacterial source that could substitute for both phytoene desaturase and ζ-carotene desaturase by introducing the required double bonds in one step). During project development, it was discovered that addition of lycopene β-cyclase was unnecessary for completion of the pathway to β-carotene, suggesting this enzyme is intrinsically expressed in sufficient quantity in non-GM rice </w:t>
      </w:r>
      <w:r>
        <w:rPr>
          <w:rFonts w:cs="Arial"/>
          <w:noProof/>
          <w:szCs w:val="22"/>
          <w:lang w:eastAsia="en-GB" w:bidi="ar-SA"/>
        </w:rPr>
        <w:t>(Schaub et al. 2005)</w:t>
      </w:r>
      <w:r>
        <w:rPr>
          <w:rFonts w:cs="Arial"/>
          <w:szCs w:val="22"/>
          <w:lang w:eastAsia="en-GB" w:bidi="ar-SA"/>
        </w:rPr>
        <w:t xml:space="preserve">. Therefore in GR2E only two genes </w:t>
      </w:r>
      <w:r w:rsidRPr="00B5494F">
        <w:rPr>
          <w:rFonts w:cs="Arial"/>
          <w:i/>
          <w:szCs w:val="22"/>
          <w:lang w:eastAsia="en-GB" w:bidi="ar-SA"/>
        </w:rPr>
        <w:t>psy1</w:t>
      </w:r>
      <w:r>
        <w:rPr>
          <w:rFonts w:cs="Arial"/>
          <w:szCs w:val="22"/>
          <w:lang w:eastAsia="en-GB" w:bidi="ar-SA"/>
        </w:rPr>
        <w:t xml:space="preserve"> from corn and </w:t>
      </w:r>
      <w:r w:rsidRPr="00B5494F">
        <w:rPr>
          <w:rFonts w:cs="Arial"/>
          <w:i/>
          <w:szCs w:val="22"/>
          <w:lang w:eastAsia="en-GB" w:bidi="ar-SA"/>
        </w:rPr>
        <w:t>crtI</w:t>
      </w:r>
      <w:r>
        <w:rPr>
          <w:rFonts w:cs="Arial"/>
          <w:szCs w:val="22"/>
          <w:lang w:eastAsia="en-GB" w:bidi="ar-SA"/>
        </w:rPr>
        <w:t xml:space="preserve"> from </w:t>
      </w:r>
      <w:r w:rsidRPr="00B5494F">
        <w:rPr>
          <w:rFonts w:cs="Arial"/>
          <w:i/>
          <w:szCs w:val="22"/>
          <w:lang w:eastAsia="en-GB" w:bidi="ar-SA"/>
        </w:rPr>
        <w:t>Pantoea ananatis</w:t>
      </w:r>
      <w:r>
        <w:rPr>
          <w:rFonts w:cs="Arial"/>
          <w:szCs w:val="22"/>
          <w:lang w:eastAsia="en-GB" w:bidi="ar-SA"/>
        </w:rPr>
        <w:t xml:space="preserve"> are necessary to drive the production of β-carotene in plastids of the endosperm. </w:t>
      </w:r>
    </w:p>
    <w:p w14:paraId="20643A56" w14:textId="77777777" w:rsidR="00333AC0" w:rsidRPr="000A3150" w:rsidRDefault="00333AC0" w:rsidP="00011A05">
      <w:pPr>
        <w:rPr>
          <w:lang w:bidi="ar-SA"/>
        </w:rPr>
      </w:pPr>
    </w:p>
    <w:p w14:paraId="20643A57" w14:textId="77777777" w:rsidR="00333AC0" w:rsidRDefault="00333AC0" w:rsidP="00011A05">
      <w:pPr>
        <w:keepNext/>
        <w:jc w:val="center"/>
      </w:pPr>
      <w:r>
        <w:rPr>
          <w:noProof/>
          <w:color w:val="FF0000"/>
          <w:lang w:eastAsia="en-GB" w:bidi="ar-SA"/>
        </w:rPr>
        <w:drawing>
          <wp:inline distT="0" distB="0" distL="0" distR="0" wp14:anchorId="20643F24" wp14:editId="647BBE4E">
            <wp:extent cx="4862600" cy="3952875"/>
            <wp:effectExtent l="0" t="0" r="0" b="0"/>
            <wp:docPr id="10" name="Picture 10" title="Figure 7: the β-carotene biosynthetic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211" cy="3959875"/>
                    </a:xfrm>
                    <a:prstGeom prst="rect">
                      <a:avLst/>
                    </a:prstGeom>
                    <a:noFill/>
                    <a:ln>
                      <a:noFill/>
                    </a:ln>
                  </pic:spPr>
                </pic:pic>
              </a:graphicData>
            </a:graphic>
          </wp:inline>
        </w:drawing>
      </w:r>
    </w:p>
    <w:p w14:paraId="20643A58" w14:textId="77777777" w:rsidR="00333AC0" w:rsidRPr="00FD430D" w:rsidRDefault="00333AC0" w:rsidP="00011A05">
      <w:pPr>
        <w:pStyle w:val="FSFigureTitle"/>
        <w:rPr>
          <w:color w:val="000000" w:themeColor="text1"/>
        </w:rPr>
      </w:pPr>
      <w:bookmarkStart w:id="43" w:name="_Toc470008745"/>
      <w:r w:rsidRPr="00FD430D">
        <w:rPr>
          <w:color w:val="000000" w:themeColor="text1"/>
        </w:rPr>
        <w:t xml:space="preserve">Figure </w:t>
      </w:r>
      <w:r w:rsidRPr="00FD430D">
        <w:rPr>
          <w:color w:val="000000" w:themeColor="text1"/>
        </w:rPr>
        <w:fldChar w:fldCharType="begin"/>
      </w:r>
      <w:r w:rsidRPr="00FD430D">
        <w:rPr>
          <w:color w:val="000000" w:themeColor="text1"/>
        </w:rPr>
        <w:instrText xml:space="preserve"> SEQ Figure \* ARABIC </w:instrText>
      </w:r>
      <w:r w:rsidRPr="00FD430D">
        <w:rPr>
          <w:color w:val="000000" w:themeColor="text1"/>
        </w:rPr>
        <w:fldChar w:fldCharType="separate"/>
      </w:r>
      <w:r w:rsidR="00286242">
        <w:rPr>
          <w:noProof/>
          <w:color w:val="000000" w:themeColor="text1"/>
        </w:rPr>
        <w:t>7</w:t>
      </w:r>
      <w:r w:rsidRPr="00FD430D">
        <w:rPr>
          <w:color w:val="000000" w:themeColor="text1"/>
        </w:rPr>
        <w:fldChar w:fldCharType="end"/>
      </w:r>
      <w:r w:rsidRPr="00FD430D">
        <w:rPr>
          <w:color w:val="000000" w:themeColor="text1"/>
        </w:rPr>
        <w:t>: the β-carotene biosynthetic pathway</w:t>
      </w:r>
      <w:bookmarkEnd w:id="43"/>
    </w:p>
    <w:p w14:paraId="20643A59" w14:textId="77777777" w:rsidR="00333AC0" w:rsidRPr="00CF3795" w:rsidRDefault="00333AC0" w:rsidP="00011A05">
      <w:pPr>
        <w:rPr>
          <w:color w:val="000000" w:themeColor="text1"/>
          <w:sz w:val="20"/>
          <w:szCs w:val="20"/>
        </w:rPr>
      </w:pPr>
      <w:r w:rsidRPr="00FD430D">
        <w:rPr>
          <w:color w:val="000000" w:themeColor="text1"/>
          <w:sz w:val="20"/>
          <w:szCs w:val="20"/>
        </w:rPr>
        <w:t>Steps in green denote activities naturally present in non-GM rice endosperm. Steps in grey are not functional in non-GM rice endosperm.</w:t>
      </w:r>
      <w:r>
        <w:rPr>
          <w:color w:val="000000" w:themeColor="text1"/>
          <w:sz w:val="20"/>
          <w:szCs w:val="20"/>
        </w:rPr>
        <w:t xml:space="preserve"> Proteins in blue are expressed by the two exogenous genes </w:t>
      </w:r>
      <w:r w:rsidRPr="00CF3795">
        <w:rPr>
          <w:color w:val="000000" w:themeColor="text1"/>
          <w:sz w:val="20"/>
          <w:szCs w:val="20"/>
        </w:rPr>
        <w:t>present in GR2E.</w:t>
      </w:r>
    </w:p>
    <w:p w14:paraId="20643A5A" w14:textId="77777777" w:rsidR="00333AC0" w:rsidRDefault="00333AC0" w:rsidP="00011A05">
      <w:pPr>
        <w:widowControl/>
        <w:autoSpaceDE w:val="0"/>
        <w:autoSpaceDN w:val="0"/>
        <w:adjustRightInd w:val="0"/>
        <w:rPr>
          <w:color w:val="000000" w:themeColor="text1"/>
        </w:rPr>
      </w:pPr>
    </w:p>
    <w:p w14:paraId="20643A5B" w14:textId="77777777" w:rsidR="00333AC0" w:rsidRPr="00A74486" w:rsidRDefault="00333AC0" w:rsidP="00011A05">
      <w:pPr>
        <w:widowControl/>
        <w:autoSpaceDE w:val="0"/>
        <w:autoSpaceDN w:val="0"/>
        <w:adjustRightInd w:val="0"/>
        <w:rPr>
          <w:rFonts w:cs="Arial"/>
          <w:szCs w:val="22"/>
          <w:lang w:eastAsia="en-GB" w:bidi="ar-SA"/>
        </w:rPr>
      </w:pPr>
      <w:r>
        <w:rPr>
          <w:color w:val="000000" w:themeColor="text1"/>
        </w:rPr>
        <w:t>Specifically, phytoene synthase catalyses the production of the 40-carbon phytoene from condensation of two GGPP molecules. Phytoene is then desaturated to create the chain of double bonds that forms the backbone of plant carotenoids. This desaturation proceeds via a series of four desaturation and two isomerisation reactions that transforms the phytoene into all-</w:t>
      </w:r>
      <w:r w:rsidRPr="00A74486">
        <w:rPr>
          <w:i/>
          <w:color w:val="000000" w:themeColor="text1"/>
        </w:rPr>
        <w:t>trans</w:t>
      </w:r>
      <w:r>
        <w:rPr>
          <w:color w:val="000000" w:themeColor="text1"/>
        </w:rPr>
        <w:t xml:space="preserve"> lycopene; in GR2E the single CRTI enzyme catalyses this entire process </w:t>
      </w:r>
      <w:r w:rsidRPr="00A74486">
        <w:rPr>
          <w:rFonts w:cs="Arial"/>
          <w:noProof/>
          <w:color w:val="000000" w:themeColor="text1"/>
          <w:szCs w:val="22"/>
          <w:lang w:eastAsia="en-GB" w:bidi="ar-SA"/>
        </w:rPr>
        <w:t>(Ruiz-Sola and Rodriguez-Concepcion 2012)</w:t>
      </w:r>
      <w:r w:rsidRPr="00A74486">
        <w:rPr>
          <w:rFonts w:cs="Arial"/>
          <w:color w:val="000000" w:themeColor="text1"/>
          <w:szCs w:val="22"/>
          <w:lang w:eastAsia="en-GB" w:bidi="ar-SA"/>
        </w:rPr>
        <w:t xml:space="preserve">. </w:t>
      </w:r>
    </w:p>
    <w:p w14:paraId="20643A5C" w14:textId="77777777" w:rsidR="00333AC0" w:rsidRDefault="00333AC0" w:rsidP="00011A05">
      <w:pPr>
        <w:rPr>
          <w:color w:val="000000" w:themeColor="text1"/>
        </w:rPr>
      </w:pPr>
    </w:p>
    <w:p w14:paraId="20643A5D" w14:textId="77777777" w:rsidR="00333AC0" w:rsidRDefault="00333AC0" w:rsidP="00011A05">
      <w:pPr>
        <w:widowControl/>
        <w:autoSpaceDE w:val="0"/>
        <w:autoSpaceDN w:val="0"/>
        <w:adjustRightInd w:val="0"/>
        <w:rPr>
          <w:rFonts w:cs="Arial"/>
          <w:szCs w:val="22"/>
          <w:lang w:eastAsia="en-GB" w:bidi="ar-SA"/>
        </w:rPr>
      </w:pPr>
      <w:r w:rsidRPr="00637D03">
        <w:rPr>
          <w:rFonts w:cs="Arial"/>
          <w:color w:val="000000" w:themeColor="text1"/>
          <w:szCs w:val="22"/>
        </w:rPr>
        <w:t xml:space="preserve">A translation of the DNA sequence of the </w:t>
      </w:r>
      <w:r w:rsidRPr="00637D03">
        <w:rPr>
          <w:rFonts w:cs="Arial"/>
          <w:i/>
          <w:color w:val="000000" w:themeColor="text1"/>
          <w:szCs w:val="22"/>
        </w:rPr>
        <w:t xml:space="preserve">Zmpsy1 </w:t>
      </w:r>
      <w:r w:rsidRPr="00637D03">
        <w:rPr>
          <w:rFonts w:cs="Arial"/>
          <w:color w:val="000000" w:themeColor="text1"/>
          <w:szCs w:val="22"/>
        </w:rPr>
        <w:t>gene in GR2E (</w:t>
      </w:r>
      <w:r w:rsidRPr="00B275D4">
        <w:rPr>
          <w:rFonts w:cs="Arial"/>
          <w:color w:val="000000" w:themeColor="text1"/>
          <w:szCs w:val="22"/>
        </w:rPr>
        <w:t>see Section 3.4.2) yielded a protein comprising 410 amino acids (Figure 8), with a calculated molecular</w:t>
      </w:r>
      <w:r w:rsidRPr="00637D03">
        <w:rPr>
          <w:rFonts w:cs="Arial"/>
          <w:color w:val="000000" w:themeColor="text1"/>
          <w:szCs w:val="22"/>
        </w:rPr>
        <w:t xml:space="preserve"> weight of 46.5 kDa. </w:t>
      </w:r>
      <w:r w:rsidRPr="006013F0">
        <w:rPr>
          <w:rFonts w:cs="Arial"/>
          <w:szCs w:val="22"/>
          <w:lang w:eastAsia="en-GB" w:bidi="ar-SA"/>
        </w:rPr>
        <w:t xml:space="preserve">Using the </w:t>
      </w:r>
      <w:hyperlink r:id="rId31" w:history="1">
        <w:r w:rsidRPr="002E67E8">
          <w:rPr>
            <w:rStyle w:val="Hyperlink"/>
            <w:rFonts w:cs="Arial"/>
            <w:szCs w:val="22"/>
            <w:lang w:eastAsia="en-GB" w:bidi="ar-SA"/>
          </w:rPr>
          <w:t>ChloroP Transit Peptide Predictor</w:t>
        </w:r>
      </w:hyperlink>
      <w:r>
        <w:rPr>
          <w:rStyle w:val="FootnoteReference"/>
          <w:rFonts w:cs="Arial"/>
          <w:szCs w:val="22"/>
          <w:lang w:eastAsia="en-GB" w:bidi="ar-SA"/>
        </w:rPr>
        <w:footnoteReference w:id="7"/>
      </w:r>
      <w:r w:rsidRPr="006013F0">
        <w:rPr>
          <w:rFonts w:cs="Arial"/>
          <w:szCs w:val="22"/>
          <w:lang w:eastAsia="en-GB" w:bidi="ar-SA"/>
        </w:rPr>
        <w:t xml:space="preserve"> </w:t>
      </w:r>
      <w:r w:rsidRPr="006013F0">
        <w:rPr>
          <w:rFonts w:cs="Arial"/>
          <w:noProof/>
          <w:szCs w:val="22"/>
          <w:lang w:eastAsia="en-GB" w:bidi="ar-SA"/>
        </w:rPr>
        <w:t>(Emanuelsson et al. 1999)</w:t>
      </w:r>
      <w:r w:rsidRPr="006013F0">
        <w:rPr>
          <w:rFonts w:cs="Arial"/>
          <w:szCs w:val="22"/>
          <w:lang w:eastAsia="en-GB" w:bidi="ar-SA"/>
        </w:rPr>
        <w:t xml:space="preserve">, the </w:t>
      </w:r>
      <w:r w:rsidRPr="006013F0">
        <w:rPr>
          <w:rFonts w:cs="Arial"/>
          <w:i/>
          <w:iCs/>
          <w:szCs w:val="22"/>
          <w:lang w:eastAsia="en-GB" w:bidi="ar-SA"/>
        </w:rPr>
        <w:t>Zm</w:t>
      </w:r>
      <w:r w:rsidRPr="006013F0">
        <w:rPr>
          <w:rFonts w:cs="Arial"/>
          <w:szCs w:val="22"/>
          <w:lang w:eastAsia="en-GB" w:bidi="ar-SA"/>
        </w:rPr>
        <w:t>PSY1 protein expressed in MS11 is predicted to have a 62-residue N-terminal transit peptide that is processed to a 39.8 kDa (348 r</w:t>
      </w:r>
      <w:r>
        <w:rPr>
          <w:rFonts w:cs="Arial"/>
          <w:szCs w:val="22"/>
          <w:lang w:eastAsia="en-GB" w:bidi="ar-SA"/>
        </w:rPr>
        <w:t>esidues) mature plastid protein.</w:t>
      </w:r>
    </w:p>
    <w:p w14:paraId="20643A5E" w14:textId="77777777" w:rsidR="00333AC0" w:rsidRDefault="00333AC0" w:rsidP="00011A05">
      <w:pPr>
        <w:widowControl/>
        <w:autoSpaceDE w:val="0"/>
        <w:autoSpaceDN w:val="0"/>
        <w:adjustRightInd w:val="0"/>
        <w:rPr>
          <w:rFonts w:cs="Arial"/>
          <w:szCs w:val="22"/>
          <w:lang w:eastAsia="en-GB" w:bidi="ar-SA"/>
        </w:rPr>
      </w:pPr>
    </w:p>
    <w:p w14:paraId="20643A5F" w14:textId="77777777" w:rsidR="00333AC0" w:rsidRPr="00637D03" w:rsidRDefault="00333AC0" w:rsidP="00011A05">
      <w:pPr>
        <w:widowControl/>
        <w:autoSpaceDE w:val="0"/>
        <w:autoSpaceDN w:val="0"/>
        <w:adjustRightInd w:val="0"/>
        <w:jc w:val="center"/>
        <w:rPr>
          <w:rFonts w:cs="Arial"/>
          <w:szCs w:val="22"/>
          <w:lang w:eastAsia="en-GB" w:bidi="ar-SA"/>
        </w:rPr>
      </w:pPr>
      <w:r>
        <w:rPr>
          <w:rFonts w:cs="Arial"/>
          <w:noProof/>
          <w:szCs w:val="22"/>
          <w:lang w:eastAsia="en-GB" w:bidi="ar-SA"/>
        </w:rPr>
        <w:drawing>
          <wp:inline distT="0" distB="0" distL="0" distR="0" wp14:anchorId="20643F26" wp14:editId="672523A8">
            <wp:extent cx="4133850" cy="2147107"/>
            <wp:effectExtent l="0" t="0" r="0" b="5715"/>
            <wp:docPr id="19" name="Picture 19" title="Figure 8: Deduced amino acid sequence for the ZmPSY1 protein expressed in G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0" cy="2147107"/>
                    </a:xfrm>
                    <a:prstGeom prst="rect">
                      <a:avLst/>
                    </a:prstGeom>
                    <a:noFill/>
                    <a:ln>
                      <a:noFill/>
                    </a:ln>
                  </pic:spPr>
                </pic:pic>
              </a:graphicData>
            </a:graphic>
          </wp:inline>
        </w:drawing>
      </w:r>
    </w:p>
    <w:p w14:paraId="20643A60" w14:textId="77777777" w:rsidR="00333AC0" w:rsidRDefault="00333AC0" w:rsidP="00011A05">
      <w:pPr>
        <w:keepNext/>
        <w:jc w:val="center"/>
      </w:pPr>
    </w:p>
    <w:p w14:paraId="20643A61" w14:textId="77777777" w:rsidR="00333AC0" w:rsidRPr="008F53FF" w:rsidRDefault="00333AC0" w:rsidP="00011A05">
      <w:pPr>
        <w:pStyle w:val="FSFigureTitle"/>
      </w:pPr>
      <w:bookmarkStart w:id="44" w:name="_Toc470008746"/>
      <w:r>
        <w:t xml:space="preserve">Figure </w:t>
      </w:r>
      <w:r>
        <w:fldChar w:fldCharType="begin"/>
      </w:r>
      <w:r>
        <w:instrText xml:space="preserve"> SEQ Figure \* ARABIC </w:instrText>
      </w:r>
      <w:r>
        <w:fldChar w:fldCharType="separate"/>
      </w:r>
      <w:r w:rsidR="00286242">
        <w:rPr>
          <w:noProof/>
        </w:rPr>
        <w:t>8</w:t>
      </w:r>
      <w:r>
        <w:rPr>
          <w:noProof/>
        </w:rPr>
        <w:fldChar w:fldCharType="end"/>
      </w:r>
      <w:r>
        <w:t>: Deduced amino acid sequence for the ZmPSY1 protein</w:t>
      </w:r>
      <w:bookmarkEnd w:id="44"/>
      <w:r>
        <w:t xml:space="preserve"> expressed in GR2E</w:t>
      </w:r>
    </w:p>
    <w:p w14:paraId="20643A62" w14:textId="77777777" w:rsidR="00333AC0" w:rsidRPr="000F761E" w:rsidRDefault="00333AC0" w:rsidP="00011A05">
      <w:pPr>
        <w:rPr>
          <w:color w:val="000000" w:themeColor="text1"/>
          <w:sz w:val="20"/>
          <w:szCs w:val="20"/>
        </w:rPr>
      </w:pPr>
      <w:r>
        <w:rPr>
          <w:color w:val="000000" w:themeColor="text1"/>
          <w:sz w:val="20"/>
          <w:szCs w:val="20"/>
        </w:rPr>
        <w:t>T</w:t>
      </w:r>
      <w:r w:rsidRPr="000F761E">
        <w:rPr>
          <w:color w:val="000000" w:themeColor="text1"/>
          <w:sz w:val="20"/>
          <w:szCs w:val="20"/>
        </w:rPr>
        <w:t xml:space="preserve">he transit peptide </w:t>
      </w:r>
      <w:r>
        <w:rPr>
          <w:color w:val="000000" w:themeColor="text1"/>
          <w:sz w:val="20"/>
          <w:szCs w:val="20"/>
        </w:rPr>
        <w:t xml:space="preserve">that is cleaved off during processing </w:t>
      </w:r>
      <w:r w:rsidRPr="000F761E">
        <w:rPr>
          <w:color w:val="000000" w:themeColor="text1"/>
          <w:sz w:val="20"/>
          <w:szCs w:val="20"/>
        </w:rPr>
        <w:t>is underlined in red.</w:t>
      </w:r>
    </w:p>
    <w:p w14:paraId="20643A63" w14:textId="77777777" w:rsidR="00333AC0" w:rsidRDefault="00333AC0" w:rsidP="00011A05">
      <w:pPr>
        <w:rPr>
          <w:color w:val="000000" w:themeColor="text1"/>
        </w:rPr>
      </w:pPr>
    </w:p>
    <w:p w14:paraId="20643A64" w14:textId="77777777" w:rsidR="00333AC0" w:rsidRDefault="00333AC0" w:rsidP="00011A05">
      <w:pPr>
        <w:rPr>
          <w:color w:val="000000" w:themeColor="text1"/>
        </w:rPr>
      </w:pPr>
      <w:r>
        <w:rPr>
          <w:color w:val="000000" w:themeColor="text1"/>
        </w:rPr>
        <w:t xml:space="preserve">The CRTI protein encoded in GR2E belongs to the class of enzymes known as flavoenzymes. A translation of the DNA sequence of the </w:t>
      </w:r>
      <w:r>
        <w:rPr>
          <w:i/>
          <w:color w:val="000000" w:themeColor="text1"/>
        </w:rPr>
        <w:t xml:space="preserve">crtI </w:t>
      </w:r>
      <w:r>
        <w:rPr>
          <w:color w:val="000000" w:themeColor="text1"/>
        </w:rPr>
        <w:t xml:space="preserve">gene in GR2E </w:t>
      </w:r>
      <w:r w:rsidRPr="00B275D4">
        <w:rPr>
          <w:color w:val="000000" w:themeColor="text1"/>
        </w:rPr>
        <w:t>(see Section 3.4.2) yielded a protein comprising 492 amino acids (Figure 9), with a calculated molecular weight of 55 kDa</w:t>
      </w:r>
    </w:p>
    <w:p w14:paraId="20643A65" w14:textId="77777777" w:rsidR="00333AC0" w:rsidRDefault="00333AC0" w:rsidP="00011A05">
      <w:pPr>
        <w:rPr>
          <w:color w:val="000000" w:themeColor="text1"/>
        </w:rPr>
      </w:pPr>
    </w:p>
    <w:p w14:paraId="20643A66" w14:textId="77777777" w:rsidR="00333AC0" w:rsidRDefault="00333AC0" w:rsidP="00011A05">
      <w:pPr>
        <w:keepNext/>
        <w:jc w:val="center"/>
      </w:pPr>
      <w:r>
        <w:rPr>
          <w:noProof/>
          <w:lang w:eastAsia="en-GB" w:bidi="ar-SA"/>
        </w:rPr>
        <w:drawing>
          <wp:inline distT="0" distB="0" distL="0" distR="0" wp14:anchorId="20643F28" wp14:editId="0BA66D17">
            <wp:extent cx="4038600" cy="2542193"/>
            <wp:effectExtent l="0" t="0" r="0" b="0"/>
            <wp:docPr id="16" name="Picture 16" title="Figure 9: Deduced amino acid sequence of the CRTI protein expressed in G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4398" cy="2545843"/>
                    </a:xfrm>
                    <a:prstGeom prst="rect">
                      <a:avLst/>
                    </a:prstGeom>
                    <a:noFill/>
                    <a:ln>
                      <a:noFill/>
                    </a:ln>
                  </pic:spPr>
                </pic:pic>
              </a:graphicData>
            </a:graphic>
          </wp:inline>
        </w:drawing>
      </w:r>
    </w:p>
    <w:p w14:paraId="20643A67" w14:textId="77777777" w:rsidR="00333AC0" w:rsidRDefault="00333AC0" w:rsidP="00011A05">
      <w:pPr>
        <w:pStyle w:val="FSFigureTitle"/>
        <w:rPr>
          <w:color w:val="000000" w:themeColor="text1"/>
        </w:rPr>
      </w:pPr>
      <w:bookmarkStart w:id="45" w:name="_Toc470008747"/>
      <w:r>
        <w:t xml:space="preserve">Figure </w:t>
      </w:r>
      <w:r>
        <w:fldChar w:fldCharType="begin"/>
      </w:r>
      <w:r>
        <w:instrText xml:space="preserve"> SEQ Figure \* ARABIC </w:instrText>
      </w:r>
      <w:r>
        <w:fldChar w:fldCharType="separate"/>
      </w:r>
      <w:r w:rsidR="00286242">
        <w:rPr>
          <w:noProof/>
        </w:rPr>
        <w:t>9</w:t>
      </w:r>
      <w:r>
        <w:rPr>
          <w:noProof/>
        </w:rPr>
        <w:fldChar w:fldCharType="end"/>
      </w:r>
      <w:r>
        <w:t>: Deduced amino acid sequence of the CRTI protein</w:t>
      </w:r>
      <w:bookmarkEnd w:id="45"/>
      <w:r>
        <w:t xml:space="preserve"> expressed in GR2E</w:t>
      </w:r>
    </w:p>
    <w:p w14:paraId="20643A68" w14:textId="77777777" w:rsidR="00333AC0" w:rsidRDefault="00333AC0" w:rsidP="00011A05">
      <w:pPr>
        <w:pStyle w:val="Heading3"/>
      </w:pPr>
      <w:r>
        <w:t>4.1.2</w:t>
      </w:r>
      <w:r>
        <w:tab/>
        <w:t>PMI protein</w:t>
      </w:r>
    </w:p>
    <w:p w14:paraId="20643A69" w14:textId="77777777" w:rsidR="00333AC0" w:rsidRPr="00006BC0" w:rsidRDefault="00333AC0" w:rsidP="00011A05">
      <w:pPr>
        <w:rPr>
          <w:rFonts w:cs="Arial"/>
          <w:szCs w:val="22"/>
        </w:rPr>
      </w:pPr>
      <w:r>
        <w:rPr>
          <w:bCs/>
        </w:rPr>
        <w:t xml:space="preserve">Plants transformed with the </w:t>
      </w:r>
      <w:r w:rsidRPr="008567C4">
        <w:rPr>
          <w:bCs/>
          <w:i/>
        </w:rPr>
        <w:t>pmi</w:t>
      </w:r>
      <w:r w:rsidRPr="008567C4">
        <w:rPr>
          <w:bCs/>
        </w:rPr>
        <w:t xml:space="preserve"> </w:t>
      </w:r>
      <w:r>
        <w:rPr>
          <w:bCs/>
        </w:rPr>
        <w:t>gene</w:t>
      </w:r>
      <w:r>
        <w:rPr>
          <w:rFonts w:cs="Arial"/>
          <w:szCs w:val="22"/>
        </w:rPr>
        <w:t xml:space="preserve"> </w:t>
      </w:r>
      <w:r>
        <w:rPr>
          <w:bCs/>
        </w:rPr>
        <w:t xml:space="preserve">can utilise mannose as a source of carbon. </w:t>
      </w:r>
      <w:r>
        <w:rPr>
          <w:rFonts w:cs="Arial"/>
          <w:szCs w:val="22"/>
        </w:rPr>
        <w:t>T</w:t>
      </w:r>
      <w:r w:rsidRPr="00006BC0">
        <w:rPr>
          <w:rFonts w:cs="Arial"/>
          <w:szCs w:val="22"/>
        </w:rPr>
        <w:t xml:space="preserve">he </w:t>
      </w:r>
      <w:r>
        <w:rPr>
          <w:rFonts w:cs="Arial"/>
          <w:szCs w:val="22"/>
        </w:rPr>
        <w:t xml:space="preserve">expression of the </w:t>
      </w:r>
      <w:r w:rsidRPr="00006BC0">
        <w:rPr>
          <w:rFonts w:cs="Arial"/>
          <w:szCs w:val="22"/>
        </w:rPr>
        <w:t xml:space="preserve">PMI enzyme </w:t>
      </w:r>
      <w:r>
        <w:rPr>
          <w:rFonts w:cs="Arial"/>
          <w:szCs w:val="22"/>
        </w:rPr>
        <w:t xml:space="preserve">in </w:t>
      </w:r>
      <w:r w:rsidRPr="00006BC0">
        <w:rPr>
          <w:rFonts w:cs="Arial"/>
          <w:szCs w:val="22"/>
        </w:rPr>
        <w:t xml:space="preserve">plant cells is </w:t>
      </w:r>
      <w:r>
        <w:rPr>
          <w:rFonts w:cs="Arial"/>
          <w:szCs w:val="22"/>
        </w:rPr>
        <w:t xml:space="preserve">therefore </w:t>
      </w:r>
      <w:r w:rsidRPr="00006BC0">
        <w:rPr>
          <w:rFonts w:cs="Arial"/>
          <w:szCs w:val="22"/>
        </w:rPr>
        <w:t xml:space="preserve">useful as a selectable marker </w:t>
      </w:r>
      <w:r>
        <w:rPr>
          <w:rFonts w:cs="Arial"/>
          <w:szCs w:val="22"/>
        </w:rPr>
        <w:t xml:space="preserve">to assist with identification of transformed cells. </w:t>
      </w:r>
      <w:r w:rsidRPr="00006BC0">
        <w:rPr>
          <w:rFonts w:cs="Arial"/>
          <w:szCs w:val="22"/>
        </w:rPr>
        <w:t xml:space="preserve">Phosphomannose isomerase catalyses the </w:t>
      </w:r>
      <w:r>
        <w:rPr>
          <w:rFonts w:cs="Arial"/>
          <w:szCs w:val="22"/>
        </w:rPr>
        <w:t>inter</w:t>
      </w:r>
      <w:r w:rsidRPr="00006BC0">
        <w:rPr>
          <w:rFonts w:cs="Arial"/>
          <w:szCs w:val="22"/>
        </w:rPr>
        <w:t>conversion of mannose 6-phosphate and fructose 6-phosphate and is present in some plants. Plants lacking this enzyme are unable to survive on cul</w:t>
      </w:r>
      <w:r>
        <w:rPr>
          <w:rFonts w:cs="Arial"/>
          <w:szCs w:val="22"/>
        </w:rPr>
        <w:t>ture media containing mannose.</w:t>
      </w:r>
    </w:p>
    <w:p w14:paraId="20643A6A" w14:textId="77777777" w:rsidR="00333AC0" w:rsidRDefault="00333AC0" w:rsidP="00011A05"/>
    <w:p w14:paraId="20643A6B" w14:textId="77777777" w:rsidR="00333AC0" w:rsidRDefault="00333AC0" w:rsidP="00011A05">
      <w:pPr>
        <w:rPr>
          <w:bCs/>
        </w:rPr>
      </w:pPr>
      <w:r>
        <w:rPr>
          <w:bCs/>
        </w:rPr>
        <w:t xml:space="preserve">Mannose, a hexose sugar, is taken up by plants and converted to mannose-6-phosphate by hexokinase. This product cannot be further utilised in many plants as they lack the PMI enzyme. The accumulation of mannose-6-phosphate inhibits phosphoglucose isomerase, causing a block in glycolysis. It also depletes cells of orthophosphate required for the production of ATP. Therefore, while mannose has no direct toxicity on plant cells, it causes growth inhibition </w:t>
      </w:r>
      <w:r>
        <w:rPr>
          <w:bCs/>
          <w:noProof/>
        </w:rPr>
        <w:t>(Negrotto et al. 2000)</w:t>
      </w:r>
      <w:r>
        <w:rPr>
          <w:bCs/>
        </w:rPr>
        <w:t xml:space="preserve">. </w:t>
      </w:r>
    </w:p>
    <w:p w14:paraId="20643A6C" w14:textId="77777777" w:rsidR="00333AC0" w:rsidRDefault="00333AC0" w:rsidP="00011A05">
      <w:pPr>
        <w:rPr>
          <w:bCs/>
        </w:rPr>
      </w:pPr>
    </w:p>
    <w:p w14:paraId="20643A6D" w14:textId="77777777" w:rsidR="00333AC0" w:rsidRDefault="00333AC0" w:rsidP="00011A05">
      <w:r>
        <w:rPr>
          <w:bCs/>
        </w:rPr>
        <w:t xml:space="preserve">The enzyme is required in many eukaryotic systems including humans </w:t>
      </w:r>
      <w:r>
        <w:rPr>
          <w:bCs/>
          <w:noProof/>
        </w:rPr>
        <w:t>(Proudfoot et al. 1994a; Proudfoot et al. 1994b)</w:t>
      </w:r>
      <w:r>
        <w:rPr>
          <w:bCs/>
        </w:rPr>
        <w:t xml:space="preserve">. It </w:t>
      </w:r>
      <w:r>
        <w:t xml:space="preserve">has been assessed by FSANZ previously as a novel protein in corn lines MIR604 </w:t>
      </w:r>
      <w:r>
        <w:rPr>
          <w:noProof/>
        </w:rPr>
        <w:t>(FSANZ 2006)</w:t>
      </w:r>
      <w:r>
        <w:t xml:space="preserve">, MIR162 </w:t>
      </w:r>
      <w:r>
        <w:rPr>
          <w:noProof/>
        </w:rPr>
        <w:t>(FSANZ 2008a)</w:t>
      </w:r>
      <w:r>
        <w:t xml:space="preserve">, 3272 </w:t>
      </w:r>
      <w:r>
        <w:rPr>
          <w:noProof/>
        </w:rPr>
        <w:t>(FSANZ 2008b)</w:t>
      </w:r>
      <w:r>
        <w:t xml:space="preserve"> and 5307 </w:t>
      </w:r>
      <w:r>
        <w:rPr>
          <w:noProof/>
        </w:rPr>
        <w:t>(FSANZ 2012)</w:t>
      </w:r>
      <w:r>
        <w:t xml:space="preserve">. </w:t>
      </w:r>
      <w:r>
        <w:rPr>
          <w:color w:val="000000" w:themeColor="text1"/>
        </w:rPr>
        <w:t xml:space="preserve">A translation of the DNA sequence of the </w:t>
      </w:r>
      <w:r>
        <w:rPr>
          <w:i/>
          <w:color w:val="000000" w:themeColor="text1"/>
        </w:rPr>
        <w:t xml:space="preserve">pmi </w:t>
      </w:r>
      <w:r>
        <w:rPr>
          <w:color w:val="000000" w:themeColor="text1"/>
        </w:rPr>
        <w:t xml:space="preserve">gene in GR2E (see </w:t>
      </w:r>
      <w:r w:rsidRPr="00B275D4">
        <w:rPr>
          <w:color w:val="000000" w:themeColor="text1"/>
        </w:rPr>
        <w:t>Section 3.4.2) yielded a protein whose</w:t>
      </w:r>
      <w:r w:rsidRPr="00B275D4">
        <w:t xml:space="preserve"> sequence is identical to that expressed in three of the previously assessed lines - MIR162, line 3272 and line 5307</w:t>
      </w:r>
      <w:r w:rsidRPr="00B275D4">
        <w:rPr>
          <w:rStyle w:val="FootnoteReference"/>
        </w:rPr>
        <w:footnoteReference w:id="8"/>
      </w:r>
      <w:r w:rsidRPr="00B275D4">
        <w:t xml:space="preserve"> (Figure 10).</w:t>
      </w:r>
      <w:r>
        <w:t xml:space="preserve"> </w:t>
      </w:r>
    </w:p>
    <w:p w14:paraId="20643A6E" w14:textId="77777777" w:rsidR="00333AC0" w:rsidRPr="00150A65" w:rsidRDefault="00333AC0" w:rsidP="00011A05">
      <w:pPr>
        <w:rPr>
          <w:bCs/>
        </w:rPr>
      </w:pPr>
    </w:p>
    <w:p w14:paraId="20643A6F" w14:textId="77777777" w:rsidR="00333AC0" w:rsidRDefault="00333AC0" w:rsidP="00011A05">
      <w:pPr>
        <w:keepNext/>
      </w:pPr>
      <w:r>
        <w:rPr>
          <w:noProof/>
          <w:lang w:eastAsia="en-GB" w:bidi="ar-SA"/>
        </w:rPr>
        <w:drawing>
          <wp:inline distT="0" distB="0" distL="0" distR="0" wp14:anchorId="20643F2A" wp14:editId="5A2387DC">
            <wp:extent cx="5629275" cy="1428750"/>
            <wp:effectExtent l="0" t="0" r="9525" b="0"/>
            <wp:docPr id="15" name="Picture 15" title="Figure 10: Deduced amino acid sequence of the PMI protein expressed in G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9275" cy="1428750"/>
                    </a:xfrm>
                    <a:prstGeom prst="rect">
                      <a:avLst/>
                    </a:prstGeom>
                    <a:noFill/>
                    <a:ln>
                      <a:noFill/>
                    </a:ln>
                  </pic:spPr>
                </pic:pic>
              </a:graphicData>
            </a:graphic>
          </wp:inline>
        </w:drawing>
      </w:r>
    </w:p>
    <w:p w14:paraId="20643A70" w14:textId="77777777" w:rsidR="00333AC0" w:rsidRDefault="00333AC0" w:rsidP="00011A05">
      <w:pPr>
        <w:pStyle w:val="FSFigureTitle"/>
      </w:pPr>
      <w:bookmarkStart w:id="46" w:name="_Toc470008748"/>
      <w:r>
        <w:t xml:space="preserve">Figure </w:t>
      </w:r>
      <w:r>
        <w:fldChar w:fldCharType="begin"/>
      </w:r>
      <w:r>
        <w:instrText xml:space="preserve"> SEQ Figure \* ARABIC </w:instrText>
      </w:r>
      <w:r>
        <w:fldChar w:fldCharType="separate"/>
      </w:r>
      <w:r w:rsidR="00286242">
        <w:rPr>
          <w:noProof/>
        </w:rPr>
        <w:t>10</w:t>
      </w:r>
      <w:r>
        <w:rPr>
          <w:noProof/>
        </w:rPr>
        <w:fldChar w:fldCharType="end"/>
      </w:r>
      <w:r>
        <w:t>: Deduced amino acid sequence of the PMI protein expressed in GR2E</w:t>
      </w:r>
      <w:bookmarkEnd w:id="46"/>
    </w:p>
    <w:p w14:paraId="20643A71" w14:textId="77777777" w:rsidR="00333AC0" w:rsidRDefault="00333AC0" w:rsidP="00011A05">
      <w:pPr>
        <w:pStyle w:val="Heading3"/>
      </w:pPr>
      <w:r>
        <w:t>4.1.3</w:t>
      </w:r>
      <w:r>
        <w:tab/>
        <w:t>Protein expression in the tissues of GR2E</w:t>
      </w:r>
    </w:p>
    <w:p w14:paraId="20643A72" w14:textId="77777777" w:rsidR="00333AC0" w:rsidRPr="00636FCE" w:rsidRDefault="00333AC0" w:rsidP="00011A05">
      <w:pPr>
        <w:pBdr>
          <w:top w:val="single" w:sz="4" w:space="1" w:color="auto"/>
          <w:left w:val="single" w:sz="4" w:space="4" w:color="auto"/>
          <w:bottom w:val="single" w:sz="4" w:space="1" w:color="auto"/>
          <w:right w:val="single" w:sz="4" w:space="4" w:color="auto"/>
        </w:pBdr>
        <w:rPr>
          <w:b/>
          <w:color w:val="000000" w:themeColor="text1"/>
          <w:sz w:val="20"/>
          <w:szCs w:val="20"/>
        </w:rPr>
      </w:pPr>
      <w:r>
        <w:rPr>
          <w:b/>
          <w:color w:val="000000" w:themeColor="text1"/>
          <w:sz w:val="20"/>
          <w:szCs w:val="20"/>
        </w:rPr>
        <w:t>Studies</w:t>
      </w:r>
      <w:r w:rsidRPr="00636FCE">
        <w:rPr>
          <w:b/>
          <w:color w:val="000000" w:themeColor="text1"/>
          <w:sz w:val="20"/>
          <w:szCs w:val="20"/>
        </w:rPr>
        <w:t xml:space="preserve"> submitted:</w:t>
      </w:r>
    </w:p>
    <w:p w14:paraId="20643A73" w14:textId="77777777" w:rsidR="00333AC0" w:rsidRPr="002B74E1" w:rsidRDefault="00333AC0" w:rsidP="00011A05">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20643A74" w14:textId="77777777" w:rsidR="00333AC0" w:rsidRPr="002B74E1"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B74E1">
        <w:rPr>
          <w:rFonts w:cs="Arial"/>
          <w:sz w:val="20"/>
          <w:szCs w:val="20"/>
          <w:lang w:eastAsia="en-GB" w:bidi="ar-SA"/>
        </w:rPr>
        <w:t xml:space="preserve">. Western immunoblot analysis of </w:t>
      </w:r>
      <w:r w:rsidRPr="00AB4E70">
        <w:rPr>
          <w:rFonts w:cs="Arial"/>
          <w:i/>
          <w:sz w:val="20"/>
          <w:szCs w:val="20"/>
          <w:lang w:eastAsia="en-GB" w:bidi="ar-SA"/>
        </w:rPr>
        <w:t>Zm</w:t>
      </w:r>
      <w:r w:rsidRPr="002B74E1">
        <w:rPr>
          <w:rFonts w:cs="Arial"/>
          <w:sz w:val="20"/>
          <w:szCs w:val="20"/>
          <w:lang w:eastAsia="en-GB" w:bidi="ar-SA"/>
        </w:rPr>
        <w:t>PSY1, CRTI, and PMI expression in different plant tissues from rice event IR-ØØGR2E-5. Technical report, IR2016-04003 (unpublished) International Rice Research Institute, Los Banos, Laguna, Philippines</w:t>
      </w:r>
    </w:p>
    <w:p w14:paraId="20643A75" w14:textId="77777777" w:rsidR="00333AC0" w:rsidRPr="002B74E1"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B74E1">
        <w:rPr>
          <w:rFonts w:cs="Arial"/>
          <w:sz w:val="20"/>
          <w:szCs w:val="20"/>
          <w:lang w:eastAsia="en-GB" w:bidi="ar-SA"/>
        </w:rPr>
        <w:t>. Concentrations of phytoene synthase (</w:t>
      </w:r>
      <w:r w:rsidRPr="00AB4E70">
        <w:rPr>
          <w:rFonts w:cs="Arial"/>
          <w:i/>
          <w:sz w:val="20"/>
          <w:szCs w:val="20"/>
          <w:lang w:eastAsia="en-GB" w:bidi="ar-SA"/>
        </w:rPr>
        <w:t>Zm</w:t>
      </w:r>
      <w:r w:rsidRPr="002B74E1">
        <w:rPr>
          <w:rFonts w:cs="Arial"/>
          <w:sz w:val="20"/>
          <w:szCs w:val="20"/>
          <w:lang w:eastAsia="en-GB" w:bidi="ar-SA"/>
        </w:rPr>
        <w:t>PSY1), phytoene desaturase (CRTI), and phosphomannose isomerase (PMI) in grain and straw harvested from event IR-ØØGR2E-5 rice grown in the Philippines in 2015. Technical report, IR2015-08004 (unpublished), International Rice Research Institute, Los Banos, Laguna, Philippines</w:t>
      </w:r>
    </w:p>
    <w:p w14:paraId="20643A76" w14:textId="77777777" w:rsidR="00333AC0" w:rsidRPr="002B74E1"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B74E1">
        <w:rPr>
          <w:rFonts w:cs="Arial"/>
          <w:sz w:val="20"/>
          <w:szCs w:val="20"/>
          <w:lang w:eastAsia="en-GB" w:bidi="ar-SA"/>
        </w:rPr>
        <w:t>. Concentrations of phytoene synthase (</w:t>
      </w:r>
      <w:r w:rsidRPr="00AB4E70">
        <w:rPr>
          <w:rFonts w:cs="Arial"/>
          <w:i/>
          <w:sz w:val="20"/>
          <w:szCs w:val="20"/>
          <w:lang w:eastAsia="en-GB" w:bidi="ar-SA"/>
        </w:rPr>
        <w:t>Zm</w:t>
      </w:r>
      <w:r w:rsidRPr="002B74E1">
        <w:rPr>
          <w:rFonts w:cs="Arial"/>
          <w:sz w:val="20"/>
          <w:szCs w:val="20"/>
          <w:lang w:eastAsia="en-GB" w:bidi="ar-SA"/>
        </w:rPr>
        <w:t>PSY1), phytoene desaturase (CRTI), and phosphomannose isomerase (PMI) in grain and straw harvested from event IR-ØØGR2E-5 rice grown in the Philippines in 2016. Technical report, IR2016-04004 (unpublished), International Rice Research Institute, Los Banos, Laguna, Philippines</w:t>
      </w:r>
    </w:p>
    <w:p w14:paraId="20643A77" w14:textId="77777777" w:rsidR="00333AC0" w:rsidRPr="005E54B4" w:rsidRDefault="00333AC0" w:rsidP="00011A05">
      <w:pPr>
        <w:ind w:left="284" w:hanging="284"/>
        <w:rPr>
          <w:rFonts w:cs="Arial"/>
          <w:szCs w:val="22"/>
          <w:lang w:eastAsia="en-AU" w:bidi="ar-SA"/>
        </w:rPr>
      </w:pPr>
    </w:p>
    <w:p w14:paraId="20643A78" w14:textId="77777777" w:rsidR="00333AC0" w:rsidRPr="005E54B4" w:rsidRDefault="00333AC0" w:rsidP="00011A05">
      <w:pPr>
        <w:pStyle w:val="FSCh6Subsec"/>
        <w:ind w:left="0"/>
        <w:rPr>
          <w:b w:val="0"/>
          <w:sz w:val="22"/>
          <w:szCs w:val="22"/>
        </w:rPr>
      </w:pPr>
      <w:r>
        <w:rPr>
          <w:sz w:val="22"/>
          <w:szCs w:val="22"/>
        </w:rPr>
        <w:t>4.1.3.1</w:t>
      </w:r>
      <w:r>
        <w:rPr>
          <w:sz w:val="22"/>
          <w:szCs w:val="22"/>
        </w:rPr>
        <w:tab/>
      </w:r>
      <w:r w:rsidRPr="005E54B4">
        <w:rPr>
          <w:sz w:val="22"/>
          <w:szCs w:val="22"/>
        </w:rPr>
        <w:t>Tissue specificity of protein expression</w:t>
      </w:r>
    </w:p>
    <w:p w14:paraId="20643A79" w14:textId="77777777" w:rsidR="00333AC0" w:rsidRPr="005E54B4" w:rsidRDefault="00333AC0" w:rsidP="00011A05">
      <w:pPr>
        <w:ind w:left="284" w:hanging="284"/>
        <w:rPr>
          <w:rFonts w:cs="Arial"/>
          <w:szCs w:val="22"/>
          <w:lang w:eastAsia="en-AU" w:bidi="ar-SA"/>
        </w:rPr>
      </w:pPr>
    </w:p>
    <w:p w14:paraId="20643A7A"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Western immunoblot analysis was used to confirm the tissue specificity of </w:t>
      </w:r>
      <w:r>
        <w:rPr>
          <w:rFonts w:ascii="CharterBT-Italic" w:hAnsi="CharterBT-Italic" w:cs="CharterBT-Italic"/>
          <w:i/>
          <w:iCs/>
          <w:szCs w:val="22"/>
          <w:lang w:eastAsia="en-GB" w:bidi="ar-SA"/>
        </w:rPr>
        <w:t>Zm</w:t>
      </w:r>
      <w:r>
        <w:rPr>
          <w:rFonts w:ascii="CharterBT-Roman" w:hAnsi="CharterBT-Roman" w:cs="CharterBT-Roman"/>
          <w:szCs w:val="22"/>
          <w:lang w:eastAsia="en-GB" w:bidi="ar-SA"/>
        </w:rPr>
        <w:t>PSY1, CRTI, and PMI expression in GR2E rice. Samples of grain (at three stages – milk, dough and mature</w:t>
      </w:r>
      <w:r>
        <w:rPr>
          <w:rStyle w:val="FootnoteReference"/>
          <w:rFonts w:ascii="CharterBT-Roman" w:hAnsi="CharterBT-Roman" w:cs="CharterBT-Roman"/>
          <w:szCs w:val="22"/>
          <w:lang w:eastAsia="en-GB" w:bidi="ar-SA"/>
        </w:rPr>
        <w:footnoteReference w:id="9"/>
      </w:r>
      <w:r>
        <w:rPr>
          <w:rFonts w:ascii="CharterBT-Roman" w:hAnsi="CharterBT-Roman" w:cs="CharterBT-Roman"/>
          <w:szCs w:val="22"/>
          <w:lang w:eastAsia="en-GB" w:bidi="ar-SA"/>
        </w:rPr>
        <w:t xml:space="preserve">), bran, and hulls were obtained from a confined field trial grown during 2015 while stem, leaf, and root tissue were obtained from shade-house grown plants. The negative control substance consisted of dough-stage grain obtained from non-transgenic unmodified Kaybonnet rice grown under the same conditions as the test plants while the positive control was unmodified Kaybonnet spiked with purified samples of </w:t>
      </w:r>
      <w:r w:rsidRPr="003F3648">
        <w:rPr>
          <w:rFonts w:ascii="CharterBT-Roman" w:hAnsi="CharterBT-Roman" w:cs="CharterBT-Roman"/>
          <w:i/>
          <w:szCs w:val="22"/>
          <w:lang w:eastAsia="en-GB" w:bidi="ar-SA"/>
        </w:rPr>
        <w:t>Zm</w:t>
      </w:r>
      <w:r>
        <w:rPr>
          <w:rFonts w:ascii="CharterBT-Roman" w:hAnsi="CharterBT-Roman" w:cs="CharterBT-Roman"/>
          <w:szCs w:val="22"/>
          <w:lang w:eastAsia="en-GB" w:bidi="ar-SA"/>
        </w:rPr>
        <w:t xml:space="preserve">Psy1, CRTI and PMI obtained from a recombinant </w:t>
      </w:r>
      <w:r w:rsidRPr="00584906">
        <w:rPr>
          <w:rFonts w:ascii="CharterBT-Roman" w:hAnsi="CharterBT-Roman" w:cs="CharterBT-Roman"/>
          <w:i/>
          <w:szCs w:val="22"/>
          <w:lang w:eastAsia="en-GB" w:bidi="ar-SA"/>
        </w:rPr>
        <w:t>Es</w:t>
      </w:r>
      <w:r>
        <w:rPr>
          <w:rFonts w:ascii="CharterBT-Roman" w:hAnsi="CharterBT-Roman" w:cs="CharterBT-Roman"/>
          <w:i/>
          <w:szCs w:val="22"/>
          <w:lang w:eastAsia="en-GB" w:bidi="ar-SA"/>
        </w:rPr>
        <w:t>c</w:t>
      </w:r>
      <w:r w:rsidRPr="00584906">
        <w:rPr>
          <w:rFonts w:ascii="CharterBT-Roman" w:hAnsi="CharterBT-Roman" w:cs="CharterBT-Roman"/>
          <w:i/>
          <w:szCs w:val="22"/>
          <w:lang w:eastAsia="en-GB" w:bidi="ar-SA"/>
        </w:rPr>
        <w:t>herichia coli</w:t>
      </w:r>
      <w:r>
        <w:rPr>
          <w:rFonts w:ascii="CharterBT-Roman" w:hAnsi="CharterBT-Roman" w:cs="CharterBT-Roman"/>
          <w:szCs w:val="22"/>
          <w:lang w:eastAsia="en-GB" w:bidi="ar-SA"/>
        </w:rPr>
        <w:t xml:space="preserve"> system (refer </w:t>
      </w:r>
      <w:r w:rsidRPr="00B275D4">
        <w:rPr>
          <w:rFonts w:ascii="CharterBT-Roman" w:hAnsi="CharterBT-Roman" w:cs="CharterBT-Roman"/>
          <w:szCs w:val="22"/>
          <w:lang w:eastAsia="en-GB" w:bidi="ar-SA"/>
        </w:rPr>
        <w:t>to Section 4.1.4.1).</w:t>
      </w:r>
    </w:p>
    <w:p w14:paraId="20643A7B"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A7C" w14:textId="77777777" w:rsidR="00333AC0" w:rsidRPr="003C3A66"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Samples were extracted and the total proteins were separated by sodium dodecyl sulphate – polyacrylamide gel </w:t>
      </w:r>
      <w:r w:rsidRPr="003C3A66">
        <w:rPr>
          <w:rFonts w:ascii="CharterBT-Roman" w:hAnsi="CharterBT-Roman" w:cs="CharterBT-Roman"/>
          <w:szCs w:val="22"/>
          <w:lang w:eastAsia="en-GB" w:bidi="ar-SA"/>
        </w:rPr>
        <w:t>electrophoresis (SDS-PAGE). Following membrane transfer, the blots were incubated as follows:</w:t>
      </w:r>
    </w:p>
    <w:p w14:paraId="20643A7D" w14:textId="77777777" w:rsidR="00333AC0" w:rsidRPr="003C3A66" w:rsidRDefault="00333AC0" w:rsidP="00011A05">
      <w:pPr>
        <w:widowControl/>
        <w:autoSpaceDE w:val="0"/>
        <w:autoSpaceDN w:val="0"/>
        <w:adjustRightInd w:val="0"/>
        <w:rPr>
          <w:rFonts w:ascii="CharterBT-Roman" w:hAnsi="CharterBT-Roman" w:cs="CharterBT-Roman"/>
          <w:szCs w:val="22"/>
          <w:lang w:eastAsia="en-GB" w:bidi="ar-SA"/>
        </w:rPr>
      </w:pPr>
    </w:p>
    <w:p w14:paraId="20643A7E" w14:textId="77777777" w:rsidR="00333AC0" w:rsidRPr="00EB6B9E" w:rsidRDefault="00333AC0" w:rsidP="0022311E">
      <w:pPr>
        <w:pStyle w:val="ListParagraph"/>
        <w:widowControl/>
        <w:numPr>
          <w:ilvl w:val="0"/>
          <w:numId w:val="12"/>
        </w:numPr>
        <w:autoSpaceDE w:val="0"/>
        <w:autoSpaceDN w:val="0"/>
        <w:adjustRightInd w:val="0"/>
        <w:ind w:left="567" w:hanging="567"/>
        <w:rPr>
          <w:rFonts w:ascii="CharterBT-Roman" w:hAnsi="CharterBT-Roman" w:cs="CharterBT-Roman"/>
          <w:szCs w:val="22"/>
          <w:lang w:eastAsia="en-GB" w:bidi="ar-SA"/>
        </w:rPr>
      </w:pPr>
      <w:r w:rsidRPr="003C3A66">
        <w:rPr>
          <w:rFonts w:ascii="CharterBT-Roman" w:hAnsi="CharterBT-Roman" w:cs="CharterBT-Roman"/>
          <w:szCs w:val="22"/>
          <w:lang w:eastAsia="en-GB" w:bidi="ar-SA"/>
        </w:rPr>
        <w:t xml:space="preserve">for </w:t>
      </w:r>
      <w:r w:rsidRPr="003C3A66">
        <w:rPr>
          <w:rFonts w:ascii="CharterBT-Roman" w:hAnsi="CharterBT-Roman" w:cs="CharterBT-Roman"/>
          <w:i/>
          <w:szCs w:val="22"/>
          <w:lang w:eastAsia="en-GB" w:bidi="ar-SA"/>
        </w:rPr>
        <w:t>Zm</w:t>
      </w:r>
      <w:r w:rsidRPr="003C3A66">
        <w:rPr>
          <w:rFonts w:ascii="CharterBT-Roman" w:hAnsi="CharterBT-Roman" w:cs="CharterBT-Roman"/>
          <w:szCs w:val="22"/>
          <w:lang w:eastAsia="en-GB" w:bidi="ar-SA"/>
        </w:rPr>
        <w:t>PSY1 – mouse monoclonal primary anti-</w:t>
      </w:r>
      <w:r w:rsidRPr="003C3A66">
        <w:rPr>
          <w:rFonts w:ascii="CharterBT-Roman" w:hAnsi="CharterBT-Roman" w:cs="CharterBT-Roman"/>
          <w:i/>
          <w:szCs w:val="22"/>
          <w:lang w:eastAsia="en-GB" w:bidi="ar-SA"/>
        </w:rPr>
        <w:t>Zm</w:t>
      </w:r>
      <w:r w:rsidRPr="003C3A66">
        <w:rPr>
          <w:rFonts w:ascii="CharterBT-Roman" w:hAnsi="CharterBT-Roman" w:cs="CharterBT-Roman"/>
          <w:szCs w:val="22"/>
          <w:lang w:eastAsia="en-GB" w:bidi="ar-SA"/>
        </w:rPr>
        <w:t>PSY1 antibody followed by alkaline phosphatase (AP)-conjugated goat</w:t>
      </w:r>
      <w:r w:rsidRPr="00EB6B9E">
        <w:rPr>
          <w:rFonts w:ascii="CharterBT-Roman" w:hAnsi="CharterBT-Roman" w:cs="CharterBT-Roman"/>
          <w:szCs w:val="22"/>
          <w:lang w:eastAsia="en-GB" w:bidi="ar-SA"/>
        </w:rPr>
        <w:t xml:space="preserve"> anti-mouse IgG secondary antibody.</w:t>
      </w:r>
    </w:p>
    <w:p w14:paraId="20643A7F" w14:textId="77777777" w:rsidR="00333AC0" w:rsidRPr="00EB6B9E" w:rsidRDefault="00333AC0" w:rsidP="0022311E">
      <w:pPr>
        <w:pStyle w:val="ListParagraph"/>
        <w:widowControl/>
        <w:numPr>
          <w:ilvl w:val="0"/>
          <w:numId w:val="12"/>
        </w:numPr>
        <w:autoSpaceDE w:val="0"/>
        <w:autoSpaceDN w:val="0"/>
        <w:adjustRightInd w:val="0"/>
        <w:ind w:left="567" w:hanging="567"/>
        <w:rPr>
          <w:rFonts w:ascii="CharterBT-Roman" w:hAnsi="CharterBT-Roman" w:cs="CharterBT-Roman"/>
          <w:szCs w:val="22"/>
          <w:lang w:eastAsia="en-GB" w:bidi="ar-SA"/>
        </w:rPr>
      </w:pPr>
      <w:r>
        <w:rPr>
          <w:rFonts w:ascii="CharterBT-Roman" w:hAnsi="CharterBT-Roman" w:cs="CharterBT-Roman"/>
          <w:szCs w:val="22"/>
          <w:lang w:eastAsia="en-GB" w:bidi="ar-SA"/>
        </w:rPr>
        <w:t>f</w:t>
      </w:r>
      <w:r w:rsidRPr="00EB6B9E">
        <w:rPr>
          <w:rFonts w:ascii="CharterBT-Roman" w:hAnsi="CharterBT-Roman" w:cs="CharterBT-Roman"/>
          <w:szCs w:val="22"/>
          <w:lang w:eastAsia="en-GB" w:bidi="ar-SA"/>
        </w:rPr>
        <w:t>or CRTI - mouse monoclonal primary anti-CRTI antibody followed by alkaline</w:t>
      </w:r>
      <w:r>
        <w:rPr>
          <w:rFonts w:ascii="CharterBT-Roman" w:hAnsi="CharterBT-Roman" w:cs="CharterBT-Roman"/>
          <w:szCs w:val="22"/>
          <w:lang w:eastAsia="en-GB" w:bidi="ar-SA"/>
        </w:rPr>
        <w:t xml:space="preserve"> AP</w:t>
      </w:r>
      <w:r w:rsidRPr="00EB6B9E">
        <w:rPr>
          <w:rFonts w:ascii="CharterBT-Roman" w:hAnsi="CharterBT-Roman" w:cs="CharterBT-Roman"/>
          <w:szCs w:val="22"/>
          <w:lang w:eastAsia="en-GB" w:bidi="ar-SA"/>
        </w:rPr>
        <w:t>-conjugated goat anti-mouse IgG secondary antibody.</w:t>
      </w:r>
    </w:p>
    <w:p w14:paraId="20643A80" w14:textId="77777777" w:rsidR="00333AC0" w:rsidRPr="00EB6B9E" w:rsidRDefault="00333AC0" w:rsidP="0022311E">
      <w:pPr>
        <w:pStyle w:val="ListParagraph"/>
        <w:widowControl/>
        <w:numPr>
          <w:ilvl w:val="0"/>
          <w:numId w:val="12"/>
        </w:numPr>
        <w:autoSpaceDE w:val="0"/>
        <w:autoSpaceDN w:val="0"/>
        <w:adjustRightInd w:val="0"/>
        <w:ind w:left="567" w:hanging="567"/>
        <w:rPr>
          <w:rFonts w:ascii="CharterBT-Roman" w:hAnsi="CharterBT-Roman" w:cs="CharterBT-Roman"/>
          <w:szCs w:val="22"/>
          <w:lang w:eastAsia="en-GB" w:bidi="ar-SA"/>
        </w:rPr>
      </w:pPr>
      <w:r>
        <w:rPr>
          <w:rFonts w:ascii="CharterBT-Roman" w:hAnsi="CharterBT-Roman" w:cs="CharterBT-Roman"/>
          <w:szCs w:val="22"/>
          <w:lang w:eastAsia="en-GB" w:bidi="ar-SA"/>
        </w:rPr>
        <w:t>f</w:t>
      </w:r>
      <w:r w:rsidRPr="00EB6B9E">
        <w:rPr>
          <w:rFonts w:ascii="CharterBT-Roman" w:hAnsi="CharterBT-Roman" w:cs="CharterBT-Roman"/>
          <w:szCs w:val="22"/>
          <w:lang w:eastAsia="en-GB" w:bidi="ar-SA"/>
        </w:rPr>
        <w:t>or PMI – horseradish peroxidase (HRP)-conjugated rabbit anti-PMI antiserum (Romer Labs) followed by chemiluminescent substrate development using luminol substrate (GE Healthcare).</w:t>
      </w:r>
    </w:p>
    <w:p w14:paraId="20643A81" w14:textId="77777777" w:rsidR="00333AC0" w:rsidRPr="00AB4E70" w:rsidRDefault="00333AC0" w:rsidP="00011A05">
      <w:pPr>
        <w:widowControl/>
        <w:autoSpaceDE w:val="0"/>
        <w:autoSpaceDN w:val="0"/>
        <w:adjustRightInd w:val="0"/>
        <w:rPr>
          <w:rFonts w:ascii="CharterBT-Roman" w:hAnsi="CharterBT-Roman" w:cs="CharterBT-Roman"/>
          <w:szCs w:val="22"/>
          <w:lang w:eastAsia="en-GB" w:bidi="ar-SA"/>
        </w:rPr>
      </w:pPr>
    </w:p>
    <w:p w14:paraId="20643A82"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There was no detection of any of the proteins in the Kaybonnet negative control samples. Expression of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and CRTI was detected only in milk, dough, and mature stage grain from GR2E plants and not in samples of bran, hulls, leaf, stem, or root tissue. In comparison, PMI expression was detected in all GR2E rice tissue types tested. These results were consistent with the use of the endosperm-specific promoter for the </w:t>
      </w:r>
      <w:r w:rsidRPr="003F3648">
        <w:rPr>
          <w:rFonts w:ascii="CharterBT-Roman" w:hAnsi="CharterBT-Roman" w:cs="CharterBT-Roman"/>
          <w:i/>
          <w:szCs w:val="22"/>
          <w:lang w:eastAsia="en-GB" w:bidi="ar-SA"/>
        </w:rPr>
        <w:t>Zmpsy1</w:t>
      </w:r>
      <w:r>
        <w:rPr>
          <w:rFonts w:ascii="CharterBT-Roman" w:hAnsi="CharterBT-Roman" w:cs="CharterBT-Roman"/>
          <w:szCs w:val="22"/>
          <w:lang w:eastAsia="en-GB" w:bidi="ar-SA"/>
        </w:rPr>
        <w:t xml:space="preserve"> and </w:t>
      </w:r>
      <w:r w:rsidRPr="003F3648">
        <w:rPr>
          <w:rFonts w:ascii="CharterBT-Roman" w:hAnsi="CharterBT-Roman" w:cs="CharterBT-Roman"/>
          <w:i/>
          <w:szCs w:val="22"/>
          <w:lang w:eastAsia="en-GB" w:bidi="ar-SA"/>
        </w:rPr>
        <w:t>crtI</w:t>
      </w:r>
      <w:r>
        <w:rPr>
          <w:rFonts w:ascii="CharterBT-Roman" w:hAnsi="CharterBT-Roman" w:cs="CharterBT-Roman"/>
          <w:szCs w:val="22"/>
          <w:lang w:eastAsia="en-GB" w:bidi="ar-SA"/>
        </w:rPr>
        <w:t xml:space="preserve"> genes, and the constitutive </w:t>
      </w:r>
      <w:r w:rsidRPr="00584906">
        <w:rPr>
          <w:rFonts w:ascii="CharterBT-Roman" w:hAnsi="CharterBT-Roman" w:cs="CharterBT-Roman"/>
          <w:i/>
          <w:szCs w:val="22"/>
          <w:lang w:eastAsia="en-GB" w:bidi="ar-SA"/>
        </w:rPr>
        <w:t>Ubi</w:t>
      </w:r>
      <w:r>
        <w:rPr>
          <w:rFonts w:ascii="CharterBT-Roman" w:hAnsi="CharterBT-Roman" w:cs="CharterBT-Roman"/>
          <w:szCs w:val="22"/>
          <w:lang w:eastAsia="en-GB" w:bidi="ar-SA"/>
        </w:rPr>
        <w:t xml:space="preserve"> promoter for the </w:t>
      </w:r>
      <w:r w:rsidRPr="003F3648">
        <w:rPr>
          <w:rFonts w:ascii="CharterBT-Roman" w:hAnsi="CharterBT-Roman" w:cs="CharterBT-Roman"/>
          <w:i/>
          <w:szCs w:val="22"/>
          <w:lang w:eastAsia="en-GB" w:bidi="ar-SA"/>
        </w:rPr>
        <w:t>pmi</w:t>
      </w:r>
      <w:r>
        <w:rPr>
          <w:rFonts w:ascii="CharterBT-Roman" w:hAnsi="CharterBT-Roman" w:cs="CharterBT-Roman"/>
          <w:szCs w:val="22"/>
          <w:lang w:eastAsia="en-GB" w:bidi="ar-SA"/>
        </w:rPr>
        <w:t xml:space="preserve"> gene.</w:t>
      </w:r>
    </w:p>
    <w:p w14:paraId="20643A83" w14:textId="77777777" w:rsidR="00333AC0" w:rsidRDefault="00333AC0" w:rsidP="00011A05">
      <w:pPr>
        <w:pStyle w:val="FSCh6Subsec"/>
        <w:ind w:left="0"/>
        <w:rPr>
          <w:b w:val="0"/>
          <w:sz w:val="22"/>
          <w:szCs w:val="22"/>
        </w:rPr>
      </w:pPr>
      <w:r w:rsidRPr="00DB516C">
        <w:rPr>
          <w:sz w:val="22"/>
          <w:szCs w:val="22"/>
        </w:rPr>
        <w:t>4.1.3.2</w:t>
      </w:r>
      <w:r w:rsidRPr="00DB516C">
        <w:rPr>
          <w:sz w:val="22"/>
          <w:szCs w:val="22"/>
        </w:rPr>
        <w:tab/>
        <w:t>Protein expression in the tissues of GR2E</w:t>
      </w:r>
    </w:p>
    <w:p w14:paraId="20643A84" w14:textId="77777777" w:rsidR="00333AC0" w:rsidRDefault="00333AC0" w:rsidP="00011A05">
      <w:pPr>
        <w:rPr>
          <w:lang w:eastAsia="en-AU" w:bidi="ar-SA"/>
        </w:rPr>
      </w:pPr>
    </w:p>
    <w:p w14:paraId="20643A85" w14:textId="77777777" w:rsidR="00333AC0" w:rsidRPr="00585333" w:rsidRDefault="00333AC0" w:rsidP="00011A05">
      <w:pPr>
        <w:rPr>
          <w:color w:val="000000" w:themeColor="text1"/>
          <w:szCs w:val="22"/>
        </w:rPr>
      </w:pPr>
      <w:r w:rsidRPr="00585333">
        <w:rPr>
          <w:color w:val="000000" w:themeColor="text1"/>
          <w:szCs w:val="22"/>
        </w:rPr>
        <w:t>Verified (multiplex PCR) plants of GR2E in the Rc82 background (generation BC</w:t>
      </w:r>
      <w:r w:rsidRPr="00585333">
        <w:rPr>
          <w:color w:val="000000" w:themeColor="text1"/>
          <w:szCs w:val="22"/>
          <w:vertAlign w:val="subscript"/>
        </w:rPr>
        <w:t>5</w:t>
      </w:r>
      <w:r w:rsidRPr="00585333">
        <w:rPr>
          <w:color w:val="000000" w:themeColor="text1"/>
          <w:szCs w:val="22"/>
        </w:rPr>
        <w:t>F</w:t>
      </w:r>
      <w:r w:rsidRPr="00585333">
        <w:rPr>
          <w:color w:val="000000" w:themeColor="text1"/>
          <w:szCs w:val="22"/>
          <w:vertAlign w:val="subscript"/>
        </w:rPr>
        <w:t>3</w:t>
      </w:r>
      <w:r w:rsidRPr="00585333">
        <w:rPr>
          <w:color w:val="000000" w:themeColor="text1"/>
          <w:szCs w:val="22"/>
        </w:rPr>
        <w:t>*</w:t>
      </w:r>
      <w:r w:rsidRPr="00585333">
        <w:rPr>
          <w:color w:val="000000" w:themeColor="text1"/>
          <w:szCs w:val="22"/>
          <w:vertAlign w:val="superscript"/>
        </w:rPr>
        <w:t>1</w:t>
      </w:r>
      <w:r w:rsidRPr="00585333">
        <w:rPr>
          <w:color w:val="000000" w:themeColor="text1"/>
          <w:szCs w:val="22"/>
        </w:rPr>
        <w:t xml:space="preserve"> </w:t>
      </w:r>
      <w:r>
        <w:rPr>
          <w:color w:val="000000" w:themeColor="text1"/>
          <w:szCs w:val="22"/>
        </w:rPr>
        <w:t xml:space="preserve">and </w:t>
      </w:r>
      <w:r w:rsidRPr="00585333">
        <w:rPr>
          <w:color w:val="000000" w:themeColor="text1"/>
          <w:szCs w:val="22"/>
        </w:rPr>
        <w:t>BC</w:t>
      </w:r>
      <w:r w:rsidRPr="00585333">
        <w:rPr>
          <w:color w:val="000000" w:themeColor="text1"/>
          <w:szCs w:val="22"/>
          <w:vertAlign w:val="subscript"/>
        </w:rPr>
        <w:t>5</w:t>
      </w:r>
      <w:r w:rsidRPr="00585333">
        <w:rPr>
          <w:color w:val="000000" w:themeColor="text1"/>
          <w:szCs w:val="22"/>
        </w:rPr>
        <w:t>F</w:t>
      </w:r>
      <w:r>
        <w:rPr>
          <w:color w:val="000000" w:themeColor="text1"/>
          <w:szCs w:val="22"/>
          <w:vertAlign w:val="subscript"/>
        </w:rPr>
        <w:t>4</w:t>
      </w:r>
      <w:r w:rsidRPr="00585333">
        <w:rPr>
          <w:color w:val="000000" w:themeColor="text1"/>
          <w:szCs w:val="22"/>
        </w:rPr>
        <w:t>*</w:t>
      </w:r>
      <w:r w:rsidRPr="00585333">
        <w:rPr>
          <w:color w:val="000000" w:themeColor="text1"/>
          <w:szCs w:val="22"/>
          <w:vertAlign w:val="superscript"/>
        </w:rPr>
        <w:t>1</w:t>
      </w:r>
      <w:r w:rsidRPr="00585333">
        <w:rPr>
          <w:color w:val="000000" w:themeColor="text1"/>
          <w:szCs w:val="22"/>
        </w:rPr>
        <w:t xml:space="preserve"> – </w:t>
      </w:r>
      <w:r w:rsidRPr="00B275D4">
        <w:rPr>
          <w:color w:val="000000" w:themeColor="text1"/>
          <w:szCs w:val="22"/>
        </w:rPr>
        <w:t xml:space="preserve">see Figure 4) together with a </w:t>
      </w:r>
      <w:r w:rsidRPr="00B275D4">
        <w:rPr>
          <w:rFonts w:ascii="CharterBT-Roman" w:hAnsi="CharterBT-Roman" w:cs="CharterBT-Roman"/>
          <w:szCs w:val="22"/>
          <w:lang w:eastAsia="en-GB" w:bidi="ar-SA"/>
        </w:rPr>
        <w:t xml:space="preserve">near-isogenic non-transgenic </w:t>
      </w:r>
      <w:r w:rsidRPr="00B275D4">
        <w:rPr>
          <w:color w:val="000000" w:themeColor="text1"/>
          <w:szCs w:val="22"/>
        </w:rPr>
        <w:t>control, Rc82, were grown at four locations in the Philippines</w:t>
      </w:r>
      <w:r w:rsidRPr="00B275D4">
        <w:rPr>
          <w:rStyle w:val="FootnoteReference"/>
          <w:color w:val="000000" w:themeColor="text1"/>
          <w:szCs w:val="22"/>
        </w:rPr>
        <w:footnoteReference w:id="10"/>
      </w:r>
      <w:r w:rsidRPr="00B275D4">
        <w:rPr>
          <w:color w:val="000000" w:themeColor="text1"/>
          <w:szCs w:val="22"/>
        </w:rPr>
        <w:t xml:space="preserve"> on the largest island of Luzon (Figure 11) during the rainy season in 2015 and the dry season in 2016. These plantings overlapped with those used for the rainy and dry season compositional analyses described in Section 5.2. Grain was collected for analysis at three stages – milk, dough and mature; analysis of levels</w:t>
      </w:r>
      <w:r w:rsidRPr="00585333">
        <w:rPr>
          <w:color w:val="000000" w:themeColor="text1"/>
          <w:szCs w:val="22"/>
        </w:rPr>
        <w:t xml:space="preserve"> in straw at maturity was also done.</w:t>
      </w:r>
    </w:p>
    <w:p w14:paraId="20643A86" w14:textId="77777777" w:rsidR="00333AC0" w:rsidRDefault="00333AC0" w:rsidP="00011A05">
      <w:pPr>
        <w:rPr>
          <w:color w:val="000000" w:themeColor="text1"/>
          <w:szCs w:val="22"/>
        </w:rPr>
      </w:pPr>
    </w:p>
    <w:p w14:paraId="20643A87" w14:textId="77777777" w:rsidR="00333AC0" w:rsidRDefault="00333AC0" w:rsidP="00011A05">
      <w:pPr>
        <w:keepNext/>
        <w:jc w:val="center"/>
      </w:pPr>
      <w:r>
        <w:rPr>
          <w:noProof/>
          <w:color w:val="000000" w:themeColor="text1"/>
          <w:szCs w:val="22"/>
          <w:lang w:eastAsia="en-GB" w:bidi="ar-SA"/>
        </w:rPr>
        <w:drawing>
          <wp:inline distT="0" distB="0" distL="0" distR="0" wp14:anchorId="20643F2C" wp14:editId="2DF58E38">
            <wp:extent cx="2133600" cy="2695575"/>
            <wp:effectExtent l="0" t="0" r="0" b="9525"/>
            <wp:docPr id="2" name="Picture 2" title="Figure 11: GR2E growing locations for protein expression and compositional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2695575"/>
                    </a:xfrm>
                    <a:prstGeom prst="rect">
                      <a:avLst/>
                    </a:prstGeom>
                    <a:noFill/>
                    <a:ln>
                      <a:noFill/>
                    </a:ln>
                  </pic:spPr>
                </pic:pic>
              </a:graphicData>
            </a:graphic>
          </wp:inline>
        </w:drawing>
      </w:r>
    </w:p>
    <w:p w14:paraId="20643A88" w14:textId="77777777" w:rsidR="00333AC0" w:rsidRDefault="00333AC0" w:rsidP="00011A05">
      <w:pPr>
        <w:pStyle w:val="FSFigureTitle"/>
        <w:rPr>
          <w:color w:val="000000" w:themeColor="text1"/>
          <w:szCs w:val="22"/>
        </w:rPr>
      </w:pPr>
      <w:bookmarkStart w:id="47" w:name="_Toc470008749"/>
      <w:r>
        <w:t xml:space="preserve">Figure </w:t>
      </w:r>
      <w:r>
        <w:fldChar w:fldCharType="begin"/>
      </w:r>
      <w:r>
        <w:instrText xml:space="preserve"> SEQ Figure \* ARABIC </w:instrText>
      </w:r>
      <w:r>
        <w:fldChar w:fldCharType="separate"/>
      </w:r>
      <w:r w:rsidR="00286242">
        <w:rPr>
          <w:noProof/>
        </w:rPr>
        <w:t>11</w:t>
      </w:r>
      <w:r>
        <w:rPr>
          <w:noProof/>
        </w:rPr>
        <w:fldChar w:fldCharType="end"/>
      </w:r>
      <w:r>
        <w:t>: GR2E growing locations for protein expression and compositional analyses</w:t>
      </w:r>
      <w:bookmarkEnd w:id="47"/>
    </w:p>
    <w:p w14:paraId="20643A89" w14:textId="77777777" w:rsidR="00333AC0" w:rsidRDefault="00333AC0" w:rsidP="00011A05">
      <w:pPr>
        <w:rPr>
          <w:color w:val="000000" w:themeColor="text1"/>
          <w:szCs w:val="22"/>
        </w:rPr>
      </w:pPr>
    </w:p>
    <w:p w14:paraId="20643A8A"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Three blocks (replicates) of each entry (sample type) were established at each test site in a randomized complete block design. Each entry was planted in 10-row plots of 5 meters in length (20 cm </w:t>
      </w:r>
      <w:r>
        <w:rPr>
          <w:rFonts w:ascii="CMSY10" w:hAnsi="CMSY10" w:cs="CMSY10"/>
          <w:sz w:val="23"/>
          <w:szCs w:val="23"/>
          <w:lang w:eastAsia="en-GB" w:bidi="ar-SA"/>
        </w:rPr>
        <w:t xml:space="preserve">× </w:t>
      </w:r>
      <w:r>
        <w:rPr>
          <w:rFonts w:ascii="CharterBT-Roman" w:hAnsi="CharterBT-Roman" w:cs="CharterBT-Roman"/>
          <w:szCs w:val="22"/>
          <w:lang w:eastAsia="en-GB" w:bidi="ar-SA"/>
        </w:rPr>
        <w:t>20 cm spacing) for a total plot area of 10 m</w:t>
      </w:r>
      <w:r w:rsidRPr="00FF6A74">
        <w:rPr>
          <w:rFonts w:ascii="URWPalladioL-Roma" w:hAnsi="URWPalladioL-Roma" w:cs="URWPalladioL-Roma"/>
          <w:sz w:val="16"/>
          <w:szCs w:val="16"/>
          <w:vertAlign w:val="superscript"/>
          <w:lang w:eastAsia="en-GB" w:bidi="ar-SA"/>
        </w:rPr>
        <w:t>2</w:t>
      </w:r>
      <w:r>
        <w:rPr>
          <w:rFonts w:ascii="CharterBT-Roman" w:hAnsi="CharterBT-Roman" w:cs="CharterBT-Roman"/>
          <w:szCs w:val="22"/>
          <w:lang w:eastAsia="en-GB" w:bidi="ar-SA"/>
        </w:rPr>
        <w:t>. There were 25 plants per row, totalling 250 plants per entry per plot. For each tissue type, a grain sample was collected for each of the three replicated blocks. Samples of rice straw were collected at harvest; each individual sample was a composite of material obtained from at least five representative plants within each block.</w:t>
      </w:r>
    </w:p>
    <w:p w14:paraId="20643A8B"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A8C"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Levels of each protein were determined for each sample type using a validated enzyme linked immunosorbent assay </w:t>
      </w:r>
      <w:r w:rsidRPr="003C3A66">
        <w:rPr>
          <w:rFonts w:ascii="CharterBT-Roman" w:hAnsi="CharterBT-Roman" w:cs="CharterBT-Roman"/>
          <w:szCs w:val="22"/>
          <w:lang w:eastAsia="en-GB" w:bidi="ar-SA"/>
        </w:rPr>
        <w:t>(ELISA)</w:t>
      </w:r>
      <w:r>
        <w:rPr>
          <w:rFonts w:ascii="CharterBT-Roman" w:hAnsi="CharterBT-Roman" w:cs="CharterBT-Roman"/>
          <w:szCs w:val="22"/>
          <w:lang w:eastAsia="en-GB" w:bidi="ar-SA"/>
        </w:rPr>
        <w:t xml:space="preserve"> employing a commercially prepared kit as follows:</w:t>
      </w:r>
    </w:p>
    <w:p w14:paraId="20643A8D"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A8E" w14:textId="77777777" w:rsidR="00333AC0" w:rsidRPr="00B01047" w:rsidRDefault="00333AC0" w:rsidP="0022311E">
      <w:pPr>
        <w:pStyle w:val="ListParagraph"/>
        <w:widowControl/>
        <w:numPr>
          <w:ilvl w:val="0"/>
          <w:numId w:val="13"/>
        </w:numPr>
        <w:autoSpaceDE w:val="0"/>
        <w:autoSpaceDN w:val="0"/>
        <w:adjustRightInd w:val="0"/>
        <w:ind w:left="567" w:hanging="567"/>
        <w:rPr>
          <w:rFonts w:ascii="CharterBT-Roman" w:hAnsi="CharterBT-Roman" w:cs="CharterBT-Roman"/>
          <w:szCs w:val="22"/>
          <w:lang w:eastAsia="en-GB" w:bidi="ar-SA"/>
        </w:rPr>
      </w:pPr>
      <w:r w:rsidRPr="00B01047">
        <w:rPr>
          <w:rFonts w:ascii="CharterBT-Roman" w:hAnsi="CharterBT-Roman" w:cs="CharterBT-Roman"/>
          <w:szCs w:val="22"/>
          <w:lang w:eastAsia="en-GB" w:bidi="ar-SA"/>
        </w:rPr>
        <w:t>ZmPSY1 - Quantiplate™ Kit for PSY (EnviroLogix)</w:t>
      </w:r>
    </w:p>
    <w:p w14:paraId="20643A8F" w14:textId="77777777" w:rsidR="00333AC0" w:rsidRPr="00B01047" w:rsidRDefault="00333AC0" w:rsidP="0022311E">
      <w:pPr>
        <w:pStyle w:val="ListParagraph"/>
        <w:widowControl/>
        <w:numPr>
          <w:ilvl w:val="0"/>
          <w:numId w:val="13"/>
        </w:numPr>
        <w:autoSpaceDE w:val="0"/>
        <w:autoSpaceDN w:val="0"/>
        <w:adjustRightInd w:val="0"/>
        <w:ind w:left="567" w:hanging="567"/>
        <w:rPr>
          <w:rFonts w:ascii="CharterBT-Roman" w:hAnsi="CharterBT-Roman" w:cs="CharterBT-Roman"/>
          <w:szCs w:val="22"/>
          <w:lang w:eastAsia="en-GB" w:bidi="ar-SA"/>
        </w:rPr>
      </w:pPr>
      <w:r w:rsidRPr="00B01047">
        <w:rPr>
          <w:rFonts w:ascii="CharterBT-Roman" w:hAnsi="CharterBT-Roman" w:cs="CharterBT-Roman"/>
          <w:szCs w:val="22"/>
          <w:lang w:eastAsia="en-GB" w:bidi="ar-SA"/>
        </w:rPr>
        <w:t>CRTI - Quantiplate™ Kit for CRT1 (EnviroLogix)</w:t>
      </w:r>
    </w:p>
    <w:p w14:paraId="20643A90" w14:textId="77777777" w:rsidR="00333AC0" w:rsidRPr="00B01047" w:rsidRDefault="00333AC0" w:rsidP="0022311E">
      <w:pPr>
        <w:pStyle w:val="ListParagraph"/>
        <w:widowControl/>
        <w:numPr>
          <w:ilvl w:val="0"/>
          <w:numId w:val="13"/>
        </w:numPr>
        <w:autoSpaceDE w:val="0"/>
        <w:autoSpaceDN w:val="0"/>
        <w:adjustRightInd w:val="0"/>
        <w:ind w:left="567" w:hanging="567"/>
        <w:rPr>
          <w:rFonts w:ascii="CharterBT-Roman" w:hAnsi="CharterBT-Roman" w:cs="CharterBT-Roman"/>
          <w:szCs w:val="22"/>
          <w:lang w:eastAsia="en-GB" w:bidi="ar-SA"/>
        </w:rPr>
      </w:pPr>
      <w:r w:rsidRPr="00B01047">
        <w:rPr>
          <w:rFonts w:ascii="CharterBT-Roman" w:hAnsi="CharterBT-Roman" w:cs="CharterBT-Roman"/>
          <w:szCs w:val="22"/>
          <w:lang w:eastAsia="en-GB" w:bidi="ar-SA"/>
        </w:rPr>
        <w:t>PMI - AgraQuant™ PMI Plate (Romer Labs)</w:t>
      </w:r>
    </w:p>
    <w:p w14:paraId="20643A91"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A92"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A standard curve was prepared for each ELISA, and sample values were interpolated from this. Sample concentrations (ng/ml) were converted to amounts per weight of tissue homogenized for each sample type and analyte, and expressed as ng protein per gram fresh weight </w:t>
      </w:r>
      <w:r w:rsidRPr="00B275D4">
        <w:rPr>
          <w:rFonts w:ascii="CharterBT-Roman" w:hAnsi="CharterBT-Roman" w:cs="CharterBT-Roman"/>
          <w:szCs w:val="22"/>
          <w:lang w:eastAsia="en-GB" w:bidi="ar-SA"/>
        </w:rPr>
        <w:t>tissue (Tables 5 and 6</w:t>
      </w:r>
    </w:p>
    <w:p w14:paraId="20643A93"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7AC98D01" w14:textId="77777777" w:rsidR="00011A05" w:rsidRDefault="00011A05">
      <w:pPr>
        <w:widowControl/>
        <w:rPr>
          <w:rFonts w:cs="Arial"/>
          <w:b/>
          <w:bCs/>
          <w:color w:val="000000" w:themeColor="text1"/>
          <w:szCs w:val="22"/>
          <w:lang w:val="en-AU" w:bidi="ar-SA"/>
        </w:rPr>
      </w:pPr>
      <w:bookmarkStart w:id="48" w:name="_Toc487212004"/>
      <w:r>
        <w:rPr>
          <w:rFonts w:cs="Arial"/>
          <w:color w:val="000000" w:themeColor="text1"/>
          <w:szCs w:val="22"/>
        </w:rPr>
        <w:br w:type="page"/>
      </w:r>
    </w:p>
    <w:p w14:paraId="20643A94" w14:textId="06BF7A75" w:rsidR="00333AC0" w:rsidRDefault="00333AC0" w:rsidP="00011A05">
      <w:pPr>
        <w:pStyle w:val="Caption"/>
        <w:keepNext/>
        <w:ind w:left="993" w:hanging="993"/>
        <w:rPr>
          <w:rFonts w:cs="Arial"/>
          <w:color w:val="000000" w:themeColor="text1"/>
          <w:sz w:val="22"/>
          <w:szCs w:val="22"/>
        </w:rPr>
      </w:pPr>
      <w:r w:rsidRPr="001F6BA5">
        <w:rPr>
          <w:rFonts w:cs="Arial"/>
          <w:color w:val="000000" w:themeColor="text1"/>
          <w:sz w:val="22"/>
          <w:szCs w:val="22"/>
        </w:rPr>
        <w:t xml:space="preserve">Table </w:t>
      </w:r>
      <w:r w:rsidRPr="001F6BA5">
        <w:rPr>
          <w:rFonts w:cs="Arial"/>
          <w:color w:val="000000" w:themeColor="text1"/>
          <w:sz w:val="22"/>
          <w:szCs w:val="22"/>
        </w:rPr>
        <w:fldChar w:fldCharType="begin"/>
      </w:r>
      <w:r w:rsidRPr="001F6BA5">
        <w:rPr>
          <w:rFonts w:cs="Arial"/>
          <w:color w:val="000000" w:themeColor="text1"/>
          <w:sz w:val="22"/>
          <w:szCs w:val="22"/>
        </w:rPr>
        <w:instrText xml:space="preserve"> SEQ Table \* ARABIC </w:instrText>
      </w:r>
      <w:r w:rsidRPr="001F6BA5">
        <w:rPr>
          <w:rFonts w:cs="Arial"/>
          <w:color w:val="000000" w:themeColor="text1"/>
          <w:sz w:val="22"/>
          <w:szCs w:val="22"/>
        </w:rPr>
        <w:fldChar w:fldCharType="separate"/>
      </w:r>
      <w:r w:rsidR="00286242">
        <w:rPr>
          <w:rFonts w:cs="Arial"/>
          <w:noProof/>
          <w:color w:val="000000" w:themeColor="text1"/>
          <w:sz w:val="22"/>
          <w:szCs w:val="22"/>
        </w:rPr>
        <w:t>5</w:t>
      </w:r>
      <w:r w:rsidRPr="001F6BA5">
        <w:rPr>
          <w:rFonts w:cs="Arial"/>
          <w:color w:val="000000" w:themeColor="text1"/>
          <w:sz w:val="22"/>
          <w:szCs w:val="22"/>
        </w:rPr>
        <w:fldChar w:fldCharType="end"/>
      </w:r>
      <w:r w:rsidRPr="001F6BA5">
        <w:rPr>
          <w:rFonts w:cs="Arial"/>
          <w:color w:val="000000" w:themeColor="text1"/>
          <w:sz w:val="22"/>
          <w:szCs w:val="22"/>
        </w:rPr>
        <w:t xml:space="preserve">: </w:t>
      </w:r>
      <w:r w:rsidRPr="001F6BA5">
        <w:rPr>
          <w:rFonts w:cs="Arial"/>
          <w:i/>
          <w:color w:val="000000" w:themeColor="text1"/>
          <w:sz w:val="22"/>
          <w:szCs w:val="22"/>
        </w:rPr>
        <w:t>Zm</w:t>
      </w:r>
      <w:r w:rsidRPr="001F6BA5">
        <w:rPr>
          <w:rFonts w:cs="Arial"/>
          <w:color w:val="000000" w:themeColor="text1"/>
          <w:sz w:val="22"/>
          <w:szCs w:val="22"/>
        </w:rPr>
        <w:t>Psy1, CRTI and PMI protein content in various tissues of GR2E (averaged across four sites)</w:t>
      </w:r>
      <w:r>
        <w:rPr>
          <w:rFonts w:cs="Arial"/>
          <w:color w:val="000000" w:themeColor="text1"/>
          <w:sz w:val="22"/>
          <w:szCs w:val="22"/>
        </w:rPr>
        <w:t xml:space="preserve"> grown in the 2015 rainy season</w:t>
      </w:r>
      <w:bookmarkEnd w:id="48"/>
    </w:p>
    <w:p w14:paraId="20643A95" w14:textId="77777777" w:rsidR="00333AC0" w:rsidRPr="00585333" w:rsidRDefault="00333AC0" w:rsidP="00011A05">
      <w:pPr>
        <w:rPr>
          <w:lang w:val="en-AU" w:bidi="ar-SA"/>
        </w:rPr>
      </w:pPr>
    </w:p>
    <w:tbl>
      <w:tblPr>
        <w:tblStyle w:val="TableGrid"/>
        <w:tblW w:w="0" w:type="auto"/>
        <w:jc w:val="center"/>
        <w:tblLook w:val="04A0" w:firstRow="1" w:lastRow="0" w:firstColumn="1" w:lastColumn="0" w:noHBand="0" w:noVBand="1"/>
        <w:tblCaption w:val="Table 5: ZmPsy1, CRTI and PMI protein content in various tissues of GR2E (averaged across four sites) grown in the 2015 rainy season"/>
      </w:tblPr>
      <w:tblGrid>
        <w:gridCol w:w="2224"/>
        <w:gridCol w:w="1097"/>
        <w:gridCol w:w="1054"/>
        <w:gridCol w:w="1134"/>
        <w:gridCol w:w="993"/>
        <w:gridCol w:w="993"/>
        <w:gridCol w:w="1433"/>
      </w:tblGrid>
      <w:tr w:rsidR="00333AC0" w14:paraId="20643A9A" w14:textId="77777777" w:rsidTr="00011A05">
        <w:trPr>
          <w:trHeight w:val="410"/>
          <w:jc w:val="center"/>
        </w:trPr>
        <w:tc>
          <w:tcPr>
            <w:tcW w:w="2224" w:type="dxa"/>
            <w:vMerge w:val="restart"/>
            <w:shd w:val="clear" w:color="auto" w:fill="9BBB59" w:themeFill="accent3"/>
            <w:vAlign w:val="center"/>
          </w:tcPr>
          <w:p w14:paraId="20643A96"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Sample type</w:t>
            </w:r>
          </w:p>
        </w:tc>
        <w:tc>
          <w:tcPr>
            <w:tcW w:w="2151" w:type="dxa"/>
            <w:gridSpan w:val="2"/>
            <w:shd w:val="clear" w:color="auto" w:fill="9BBB59" w:themeFill="accent3"/>
            <w:vAlign w:val="center"/>
          </w:tcPr>
          <w:p w14:paraId="20643A97"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i/>
                <w:color w:val="FFFFFF" w:themeColor="background1"/>
                <w:szCs w:val="20"/>
                <w:lang w:bidi="ar-SA"/>
              </w:rPr>
              <w:t>Zm</w:t>
            </w:r>
            <w:r w:rsidRPr="003C3A66">
              <w:rPr>
                <w:rFonts w:cs="Arial"/>
                <w:b/>
                <w:color w:val="FFFFFF" w:themeColor="background1"/>
                <w:szCs w:val="20"/>
                <w:lang w:bidi="ar-SA"/>
              </w:rPr>
              <w:t>PSY1 (ng/g fw)</w:t>
            </w:r>
          </w:p>
        </w:tc>
        <w:tc>
          <w:tcPr>
            <w:tcW w:w="2127" w:type="dxa"/>
            <w:gridSpan w:val="2"/>
            <w:shd w:val="clear" w:color="auto" w:fill="9BBB59" w:themeFill="accent3"/>
            <w:vAlign w:val="center"/>
          </w:tcPr>
          <w:p w14:paraId="20643A98" w14:textId="77777777" w:rsidR="00333AC0" w:rsidRPr="000C7361" w:rsidRDefault="00333AC0" w:rsidP="00011A05">
            <w:pPr>
              <w:rPr>
                <w:lang w:val="en-AU" w:bidi="ar-SA"/>
              </w:rPr>
            </w:pPr>
            <w:r w:rsidRPr="001F6BA5">
              <w:rPr>
                <w:rFonts w:cs="Arial"/>
                <w:b/>
                <w:color w:val="FFFFFF" w:themeColor="background1"/>
                <w:szCs w:val="20"/>
                <w:lang w:bidi="ar-SA"/>
              </w:rPr>
              <w:t>CRTI</w:t>
            </w:r>
            <w:r>
              <w:rPr>
                <w:rFonts w:cs="Arial"/>
                <w:b/>
                <w:color w:val="FFFFFF" w:themeColor="background1"/>
                <w:szCs w:val="20"/>
                <w:lang w:bidi="ar-SA"/>
              </w:rPr>
              <w:t xml:space="preserve"> (ng/g fw)</w:t>
            </w:r>
          </w:p>
        </w:tc>
        <w:tc>
          <w:tcPr>
            <w:tcW w:w="2426" w:type="dxa"/>
            <w:gridSpan w:val="2"/>
            <w:shd w:val="clear" w:color="auto" w:fill="9BBB59" w:themeFill="accent3"/>
            <w:vAlign w:val="center"/>
          </w:tcPr>
          <w:p w14:paraId="20643A99"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PMI</w:t>
            </w:r>
            <w:r>
              <w:rPr>
                <w:rFonts w:cs="Arial"/>
                <w:b/>
                <w:color w:val="FFFFFF" w:themeColor="background1"/>
                <w:szCs w:val="20"/>
                <w:lang w:bidi="ar-SA"/>
              </w:rPr>
              <w:t xml:space="preserve"> (ng/g fw)</w:t>
            </w:r>
          </w:p>
        </w:tc>
      </w:tr>
      <w:tr w:rsidR="00333AC0" w14:paraId="20643AA2" w14:textId="77777777" w:rsidTr="00011A05">
        <w:trPr>
          <w:trHeight w:val="416"/>
          <w:jc w:val="center"/>
        </w:trPr>
        <w:tc>
          <w:tcPr>
            <w:tcW w:w="2224" w:type="dxa"/>
            <w:vMerge/>
            <w:shd w:val="clear" w:color="auto" w:fill="9BBB59" w:themeFill="accent3"/>
            <w:vAlign w:val="center"/>
          </w:tcPr>
          <w:p w14:paraId="20643A9B"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p>
        </w:tc>
        <w:tc>
          <w:tcPr>
            <w:tcW w:w="1097" w:type="dxa"/>
            <w:shd w:val="clear" w:color="auto" w:fill="9BBB59" w:themeFill="accent3"/>
            <w:vAlign w:val="center"/>
          </w:tcPr>
          <w:p w14:paraId="20643A9C"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color w:val="FFFFFF" w:themeColor="background1"/>
                <w:szCs w:val="20"/>
                <w:lang w:bidi="ar-SA"/>
              </w:rPr>
              <w:t>Mean</w:t>
            </w:r>
          </w:p>
        </w:tc>
        <w:tc>
          <w:tcPr>
            <w:tcW w:w="1054" w:type="dxa"/>
            <w:shd w:val="clear" w:color="auto" w:fill="9BBB59" w:themeFill="accent3"/>
            <w:vAlign w:val="center"/>
          </w:tcPr>
          <w:p w14:paraId="20643A9D"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color w:val="FFFFFF" w:themeColor="background1"/>
                <w:szCs w:val="20"/>
                <w:lang w:bidi="ar-SA"/>
              </w:rPr>
              <w:t>Range</w:t>
            </w:r>
          </w:p>
        </w:tc>
        <w:tc>
          <w:tcPr>
            <w:tcW w:w="1134" w:type="dxa"/>
            <w:shd w:val="clear" w:color="auto" w:fill="9BBB59" w:themeFill="accent3"/>
            <w:vAlign w:val="center"/>
          </w:tcPr>
          <w:p w14:paraId="20643A9E"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Mean</w:t>
            </w:r>
          </w:p>
        </w:tc>
        <w:tc>
          <w:tcPr>
            <w:tcW w:w="993" w:type="dxa"/>
            <w:shd w:val="clear" w:color="auto" w:fill="9BBB59" w:themeFill="accent3"/>
            <w:vAlign w:val="center"/>
          </w:tcPr>
          <w:p w14:paraId="20643A9F"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Range</w:t>
            </w:r>
          </w:p>
        </w:tc>
        <w:tc>
          <w:tcPr>
            <w:tcW w:w="993" w:type="dxa"/>
            <w:shd w:val="clear" w:color="auto" w:fill="9BBB59" w:themeFill="accent3"/>
            <w:vAlign w:val="center"/>
          </w:tcPr>
          <w:p w14:paraId="20643AA0"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Mean</w:t>
            </w:r>
          </w:p>
        </w:tc>
        <w:tc>
          <w:tcPr>
            <w:tcW w:w="1433" w:type="dxa"/>
            <w:shd w:val="clear" w:color="auto" w:fill="9BBB59" w:themeFill="accent3"/>
            <w:vAlign w:val="center"/>
          </w:tcPr>
          <w:p w14:paraId="20643AA1"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Range</w:t>
            </w:r>
          </w:p>
        </w:tc>
      </w:tr>
      <w:tr w:rsidR="00333AC0" w14:paraId="20643AAA" w14:textId="77777777" w:rsidTr="00011A05">
        <w:trPr>
          <w:jc w:val="center"/>
        </w:trPr>
        <w:tc>
          <w:tcPr>
            <w:tcW w:w="2224" w:type="dxa"/>
            <w:vAlign w:val="center"/>
          </w:tcPr>
          <w:p w14:paraId="20643AA3"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Grain (milk stage)</w:t>
            </w:r>
          </w:p>
        </w:tc>
        <w:tc>
          <w:tcPr>
            <w:tcW w:w="1097" w:type="dxa"/>
            <w:vAlign w:val="center"/>
          </w:tcPr>
          <w:p w14:paraId="20643AA4"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156.6</w:t>
            </w:r>
          </w:p>
        </w:tc>
        <w:tc>
          <w:tcPr>
            <w:tcW w:w="1054" w:type="dxa"/>
            <w:vAlign w:val="center"/>
          </w:tcPr>
          <w:p w14:paraId="20643AA5"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126.4 – 180.0</w:t>
            </w:r>
          </w:p>
        </w:tc>
        <w:tc>
          <w:tcPr>
            <w:tcW w:w="1134" w:type="dxa"/>
            <w:vAlign w:val="center"/>
          </w:tcPr>
          <w:p w14:paraId="20643AA6"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43.6</w:t>
            </w:r>
          </w:p>
        </w:tc>
        <w:tc>
          <w:tcPr>
            <w:tcW w:w="993" w:type="dxa"/>
            <w:vAlign w:val="center"/>
          </w:tcPr>
          <w:p w14:paraId="20643AA7"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23.3 – 52.2</w:t>
            </w:r>
          </w:p>
        </w:tc>
        <w:tc>
          <w:tcPr>
            <w:tcW w:w="993" w:type="dxa"/>
            <w:vAlign w:val="center"/>
          </w:tcPr>
          <w:p w14:paraId="20643AA8"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1548.1</w:t>
            </w:r>
          </w:p>
        </w:tc>
        <w:tc>
          <w:tcPr>
            <w:tcW w:w="1433" w:type="dxa"/>
            <w:vAlign w:val="center"/>
          </w:tcPr>
          <w:p w14:paraId="20643AA9"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1096.5 – 1797.5</w:t>
            </w:r>
          </w:p>
        </w:tc>
      </w:tr>
      <w:tr w:rsidR="00333AC0" w14:paraId="20643AB2" w14:textId="77777777" w:rsidTr="00011A05">
        <w:trPr>
          <w:jc w:val="center"/>
        </w:trPr>
        <w:tc>
          <w:tcPr>
            <w:tcW w:w="2224" w:type="dxa"/>
            <w:shd w:val="clear" w:color="auto" w:fill="EAF1DD" w:themeFill="accent3" w:themeFillTint="33"/>
            <w:vAlign w:val="center"/>
          </w:tcPr>
          <w:p w14:paraId="20643AAB"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Grain (dough stage)</w:t>
            </w:r>
          </w:p>
        </w:tc>
        <w:tc>
          <w:tcPr>
            <w:tcW w:w="1097" w:type="dxa"/>
            <w:shd w:val="clear" w:color="auto" w:fill="EAF1DD" w:themeFill="accent3" w:themeFillTint="33"/>
            <w:vAlign w:val="center"/>
          </w:tcPr>
          <w:p w14:paraId="20643AAC"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338.6</w:t>
            </w:r>
          </w:p>
        </w:tc>
        <w:tc>
          <w:tcPr>
            <w:tcW w:w="1054" w:type="dxa"/>
            <w:shd w:val="clear" w:color="auto" w:fill="EAF1DD" w:themeFill="accent3" w:themeFillTint="33"/>
            <w:vAlign w:val="center"/>
          </w:tcPr>
          <w:p w14:paraId="20643AAD"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326.3 – 358.9</w:t>
            </w:r>
          </w:p>
        </w:tc>
        <w:tc>
          <w:tcPr>
            <w:tcW w:w="1134" w:type="dxa"/>
            <w:shd w:val="clear" w:color="auto" w:fill="EAF1DD" w:themeFill="accent3" w:themeFillTint="33"/>
            <w:vAlign w:val="center"/>
          </w:tcPr>
          <w:p w14:paraId="20643AAE"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61.8</w:t>
            </w:r>
          </w:p>
        </w:tc>
        <w:tc>
          <w:tcPr>
            <w:tcW w:w="993" w:type="dxa"/>
            <w:shd w:val="clear" w:color="auto" w:fill="EAF1DD" w:themeFill="accent3" w:themeFillTint="33"/>
            <w:vAlign w:val="center"/>
          </w:tcPr>
          <w:p w14:paraId="20643AAF"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55.3 – 67.6</w:t>
            </w:r>
          </w:p>
        </w:tc>
        <w:tc>
          <w:tcPr>
            <w:tcW w:w="993" w:type="dxa"/>
            <w:shd w:val="clear" w:color="auto" w:fill="EAF1DD" w:themeFill="accent3" w:themeFillTint="33"/>
            <w:vAlign w:val="center"/>
          </w:tcPr>
          <w:p w14:paraId="20643AB0"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1897.9</w:t>
            </w:r>
          </w:p>
        </w:tc>
        <w:tc>
          <w:tcPr>
            <w:tcW w:w="1433" w:type="dxa"/>
            <w:shd w:val="clear" w:color="auto" w:fill="EAF1DD" w:themeFill="accent3" w:themeFillTint="33"/>
            <w:vAlign w:val="center"/>
          </w:tcPr>
          <w:p w14:paraId="20643AB1"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1564.5 – 2196.5</w:t>
            </w:r>
          </w:p>
        </w:tc>
      </w:tr>
      <w:tr w:rsidR="00333AC0" w14:paraId="20643ABA" w14:textId="77777777" w:rsidTr="00011A05">
        <w:trPr>
          <w:jc w:val="center"/>
        </w:trPr>
        <w:tc>
          <w:tcPr>
            <w:tcW w:w="2224" w:type="dxa"/>
            <w:vAlign w:val="center"/>
          </w:tcPr>
          <w:p w14:paraId="20643AB3"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Grain (m</w:t>
            </w:r>
            <w:r w:rsidRPr="002C09CB">
              <w:rPr>
                <w:rFonts w:cs="Arial"/>
                <w:szCs w:val="20"/>
                <w:lang w:bidi="ar-SA"/>
              </w:rPr>
              <w:t>ature stage)</w:t>
            </w:r>
          </w:p>
        </w:tc>
        <w:tc>
          <w:tcPr>
            <w:tcW w:w="1097" w:type="dxa"/>
            <w:vAlign w:val="center"/>
          </w:tcPr>
          <w:p w14:paraId="20643AB4"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226.6</w:t>
            </w:r>
          </w:p>
        </w:tc>
        <w:tc>
          <w:tcPr>
            <w:tcW w:w="1054" w:type="dxa"/>
            <w:vAlign w:val="center"/>
          </w:tcPr>
          <w:p w14:paraId="20643AB5"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196.7 – 244.8</w:t>
            </w:r>
          </w:p>
        </w:tc>
        <w:tc>
          <w:tcPr>
            <w:tcW w:w="1134" w:type="dxa"/>
            <w:vAlign w:val="center"/>
          </w:tcPr>
          <w:p w14:paraId="20643AB6"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26.1</w:t>
            </w:r>
          </w:p>
        </w:tc>
        <w:tc>
          <w:tcPr>
            <w:tcW w:w="993" w:type="dxa"/>
            <w:vAlign w:val="center"/>
          </w:tcPr>
          <w:p w14:paraId="20643AB7"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23.0 – 29.7</w:t>
            </w:r>
          </w:p>
        </w:tc>
        <w:tc>
          <w:tcPr>
            <w:tcW w:w="993" w:type="dxa"/>
            <w:vAlign w:val="center"/>
          </w:tcPr>
          <w:p w14:paraId="20643AB8"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1369.0</w:t>
            </w:r>
          </w:p>
        </w:tc>
        <w:tc>
          <w:tcPr>
            <w:tcW w:w="1433" w:type="dxa"/>
            <w:vAlign w:val="center"/>
          </w:tcPr>
          <w:p w14:paraId="20643AB9"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915 – 1890.5</w:t>
            </w:r>
          </w:p>
        </w:tc>
      </w:tr>
      <w:tr w:rsidR="00333AC0" w14:paraId="20643AC2" w14:textId="77777777" w:rsidTr="00011A05">
        <w:trPr>
          <w:trHeight w:val="506"/>
          <w:jc w:val="center"/>
        </w:trPr>
        <w:tc>
          <w:tcPr>
            <w:tcW w:w="2224" w:type="dxa"/>
            <w:shd w:val="clear" w:color="auto" w:fill="EAF1DD" w:themeFill="accent3" w:themeFillTint="33"/>
            <w:vAlign w:val="center"/>
          </w:tcPr>
          <w:p w14:paraId="20643ABB"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Straw</w:t>
            </w:r>
          </w:p>
        </w:tc>
        <w:tc>
          <w:tcPr>
            <w:tcW w:w="1097" w:type="dxa"/>
            <w:shd w:val="clear" w:color="auto" w:fill="EAF1DD" w:themeFill="accent3" w:themeFillTint="33"/>
            <w:vAlign w:val="center"/>
          </w:tcPr>
          <w:p w14:paraId="20643ABC" w14:textId="77777777" w:rsidR="00333AC0" w:rsidRPr="003C3A66" w:rsidRDefault="00333AC0" w:rsidP="00011A05">
            <w:pPr>
              <w:widowControl/>
              <w:autoSpaceDE w:val="0"/>
              <w:autoSpaceDN w:val="0"/>
              <w:adjustRightInd w:val="0"/>
              <w:jc w:val="center"/>
              <w:rPr>
                <w:rFonts w:cs="Arial"/>
                <w:szCs w:val="20"/>
                <w:vertAlign w:val="superscript"/>
                <w:lang w:bidi="ar-SA"/>
              </w:rPr>
            </w:pPr>
            <w:r w:rsidRPr="003C3A66">
              <w:rPr>
                <w:rFonts w:cs="Arial"/>
                <w:szCs w:val="20"/>
                <w:lang w:bidi="ar-SA"/>
              </w:rPr>
              <w:t>&lt;LOQ</w:t>
            </w:r>
            <w:r w:rsidRPr="003C3A66">
              <w:rPr>
                <w:rFonts w:cs="Arial"/>
                <w:szCs w:val="20"/>
                <w:vertAlign w:val="superscript"/>
                <w:lang w:bidi="ar-SA"/>
              </w:rPr>
              <w:t>1</w:t>
            </w:r>
          </w:p>
        </w:tc>
        <w:tc>
          <w:tcPr>
            <w:tcW w:w="1054" w:type="dxa"/>
            <w:shd w:val="clear" w:color="auto" w:fill="EAF1DD" w:themeFill="accent3" w:themeFillTint="33"/>
            <w:vAlign w:val="center"/>
          </w:tcPr>
          <w:p w14:paraId="20643ABD"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&lt;LOQ</w:t>
            </w:r>
          </w:p>
        </w:tc>
        <w:tc>
          <w:tcPr>
            <w:tcW w:w="1134" w:type="dxa"/>
            <w:shd w:val="clear" w:color="auto" w:fill="EAF1DD" w:themeFill="accent3" w:themeFillTint="33"/>
            <w:vAlign w:val="center"/>
          </w:tcPr>
          <w:p w14:paraId="20643ABE"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&lt;LOQ</w:t>
            </w:r>
          </w:p>
        </w:tc>
        <w:tc>
          <w:tcPr>
            <w:tcW w:w="993" w:type="dxa"/>
            <w:shd w:val="clear" w:color="auto" w:fill="EAF1DD" w:themeFill="accent3" w:themeFillTint="33"/>
            <w:vAlign w:val="center"/>
          </w:tcPr>
          <w:p w14:paraId="20643ABF"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&lt;LOQ</w:t>
            </w:r>
          </w:p>
        </w:tc>
        <w:tc>
          <w:tcPr>
            <w:tcW w:w="993" w:type="dxa"/>
            <w:shd w:val="clear" w:color="auto" w:fill="EAF1DD" w:themeFill="accent3" w:themeFillTint="33"/>
            <w:vAlign w:val="center"/>
          </w:tcPr>
          <w:p w14:paraId="20643AC0"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466.7</w:t>
            </w:r>
          </w:p>
        </w:tc>
        <w:tc>
          <w:tcPr>
            <w:tcW w:w="1433" w:type="dxa"/>
            <w:shd w:val="clear" w:color="auto" w:fill="EAF1DD" w:themeFill="accent3" w:themeFillTint="33"/>
            <w:vAlign w:val="center"/>
          </w:tcPr>
          <w:p w14:paraId="20643AC1"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320 – 617.5</w:t>
            </w:r>
          </w:p>
        </w:tc>
      </w:tr>
    </w:tbl>
    <w:p w14:paraId="20643AC3" w14:textId="77777777" w:rsidR="00333AC0" w:rsidRDefault="00333AC0" w:rsidP="00011A05">
      <w:pPr>
        <w:widowControl/>
        <w:autoSpaceDE w:val="0"/>
        <w:autoSpaceDN w:val="0"/>
        <w:adjustRightInd w:val="0"/>
        <w:rPr>
          <w:rFonts w:cs="Arial"/>
          <w:sz w:val="20"/>
          <w:szCs w:val="20"/>
          <w:lang w:eastAsia="en-GB" w:bidi="ar-SA"/>
        </w:rPr>
      </w:pPr>
      <w:r>
        <w:rPr>
          <w:rFonts w:cs="Arial"/>
          <w:sz w:val="20"/>
          <w:szCs w:val="20"/>
          <w:vertAlign w:val="superscript"/>
          <w:lang w:eastAsia="en-GB" w:bidi="ar-SA"/>
        </w:rPr>
        <w:t>1</w:t>
      </w:r>
      <w:r w:rsidRPr="00105178">
        <w:rPr>
          <w:rFonts w:ascii="FiraSans-Book" w:hAnsi="FiraSans-Book" w:cs="FiraSans-Book"/>
          <w:sz w:val="14"/>
          <w:szCs w:val="14"/>
          <w:lang w:eastAsia="en-GB" w:bidi="ar-SA"/>
        </w:rPr>
        <w:t xml:space="preserve"> </w:t>
      </w:r>
      <w:r w:rsidRPr="00105178">
        <w:rPr>
          <w:rFonts w:cs="Arial"/>
          <w:sz w:val="20"/>
          <w:szCs w:val="20"/>
          <w:lang w:eastAsia="en-GB" w:bidi="ar-SA"/>
        </w:rPr>
        <w:t xml:space="preserve">LOQ = Limit of quantification, which for the </w:t>
      </w:r>
      <w:r w:rsidRPr="00105178">
        <w:rPr>
          <w:rFonts w:cs="Arial"/>
          <w:i/>
          <w:iCs/>
          <w:sz w:val="20"/>
          <w:szCs w:val="20"/>
          <w:lang w:eastAsia="en-GB" w:bidi="ar-SA"/>
        </w:rPr>
        <w:t>Zm</w:t>
      </w:r>
      <w:r w:rsidRPr="00105178">
        <w:rPr>
          <w:rFonts w:cs="Arial"/>
          <w:sz w:val="20"/>
          <w:szCs w:val="20"/>
          <w:lang w:eastAsia="en-GB" w:bidi="ar-SA"/>
        </w:rPr>
        <w:t>PSY</w:t>
      </w:r>
      <w:r>
        <w:rPr>
          <w:rFonts w:cs="Arial"/>
          <w:sz w:val="20"/>
          <w:szCs w:val="20"/>
          <w:lang w:eastAsia="en-GB" w:bidi="ar-SA"/>
        </w:rPr>
        <w:t>1</w:t>
      </w:r>
      <w:r w:rsidRPr="00105178">
        <w:rPr>
          <w:rFonts w:cs="Arial"/>
          <w:sz w:val="20"/>
          <w:szCs w:val="20"/>
          <w:lang w:eastAsia="en-GB" w:bidi="ar-SA"/>
        </w:rPr>
        <w:t xml:space="preserve"> ELISA </w:t>
      </w:r>
      <w:r>
        <w:rPr>
          <w:rFonts w:cs="Arial"/>
          <w:sz w:val="20"/>
          <w:szCs w:val="20"/>
          <w:lang w:eastAsia="en-GB" w:bidi="ar-SA"/>
        </w:rPr>
        <w:t>in straw (stem) samples was 66</w:t>
      </w:r>
      <w:r w:rsidRPr="00105178">
        <w:rPr>
          <w:rFonts w:cs="Arial"/>
          <w:sz w:val="20"/>
          <w:szCs w:val="20"/>
          <w:lang w:eastAsia="en-GB" w:bidi="ar-SA"/>
        </w:rPr>
        <w:t xml:space="preserve">.4 ng/g FWT </w:t>
      </w:r>
      <w:r>
        <w:rPr>
          <w:rFonts w:cs="Arial"/>
          <w:sz w:val="20"/>
          <w:szCs w:val="20"/>
          <w:lang w:eastAsia="en-GB" w:bidi="ar-SA"/>
        </w:rPr>
        <w:t>and for CRTI in straw samples was 6.2 ng/g fw</w:t>
      </w:r>
      <w:r w:rsidRPr="00105178">
        <w:rPr>
          <w:rFonts w:cs="Arial"/>
          <w:sz w:val="20"/>
          <w:szCs w:val="20"/>
          <w:lang w:eastAsia="en-GB" w:bidi="ar-SA"/>
        </w:rPr>
        <w:t>.</w:t>
      </w:r>
    </w:p>
    <w:p w14:paraId="520CE6BD" w14:textId="77777777" w:rsidR="00011A05" w:rsidRPr="00105178" w:rsidRDefault="00011A05" w:rsidP="00011A05">
      <w:pPr>
        <w:widowControl/>
        <w:autoSpaceDE w:val="0"/>
        <w:autoSpaceDN w:val="0"/>
        <w:adjustRightInd w:val="0"/>
        <w:rPr>
          <w:rFonts w:cs="Arial"/>
          <w:sz w:val="20"/>
          <w:szCs w:val="20"/>
          <w:lang w:eastAsia="en-GB" w:bidi="ar-SA"/>
        </w:rPr>
      </w:pPr>
    </w:p>
    <w:p w14:paraId="20643AC4" w14:textId="77777777" w:rsidR="00333AC0" w:rsidRDefault="00333AC0" w:rsidP="00011A05">
      <w:pPr>
        <w:pStyle w:val="FSTableHeading"/>
        <w:ind w:left="993" w:hanging="993"/>
        <w:jc w:val="left"/>
        <w:rPr>
          <w:sz w:val="22"/>
          <w:szCs w:val="22"/>
        </w:rPr>
      </w:pPr>
      <w:bookmarkStart w:id="49" w:name="_Toc487212005"/>
      <w:r w:rsidRPr="004F7C86">
        <w:rPr>
          <w:sz w:val="22"/>
          <w:szCs w:val="22"/>
        </w:rPr>
        <w:t xml:space="preserve">Table </w:t>
      </w:r>
      <w:r w:rsidRPr="004F7C86">
        <w:rPr>
          <w:sz w:val="22"/>
          <w:szCs w:val="22"/>
        </w:rPr>
        <w:fldChar w:fldCharType="begin"/>
      </w:r>
      <w:r w:rsidRPr="004F7C86">
        <w:rPr>
          <w:sz w:val="22"/>
          <w:szCs w:val="22"/>
        </w:rPr>
        <w:instrText xml:space="preserve"> SEQ Table \* ARABIC </w:instrText>
      </w:r>
      <w:r w:rsidRPr="004F7C86">
        <w:rPr>
          <w:sz w:val="22"/>
          <w:szCs w:val="22"/>
        </w:rPr>
        <w:fldChar w:fldCharType="separate"/>
      </w:r>
      <w:r w:rsidR="00286242">
        <w:rPr>
          <w:noProof/>
          <w:sz w:val="22"/>
          <w:szCs w:val="22"/>
        </w:rPr>
        <w:t>6</w:t>
      </w:r>
      <w:r w:rsidRPr="004F7C86">
        <w:rPr>
          <w:sz w:val="22"/>
          <w:szCs w:val="22"/>
        </w:rPr>
        <w:fldChar w:fldCharType="end"/>
      </w:r>
      <w:r w:rsidRPr="004F7C86">
        <w:rPr>
          <w:sz w:val="22"/>
          <w:szCs w:val="22"/>
        </w:rPr>
        <w:t>: ZmPsy1, CRTI and PMI protein content in various tissues of GR2E (averaged across four sites) grown in the 2016 dry season</w:t>
      </w:r>
      <w:bookmarkEnd w:id="49"/>
    </w:p>
    <w:p w14:paraId="20643AC5" w14:textId="77777777" w:rsidR="00333AC0" w:rsidRPr="004F7C86" w:rsidRDefault="00333AC0" w:rsidP="00011A05">
      <w:pPr>
        <w:pStyle w:val="FSTableHeading"/>
        <w:ind w:left="993" w:hanging="993"/>
        <w:jc w:val="left"/>
        <w:rPr>
          <w:sz w:val="22"/>
          <w:szCs w:val="22"/>
        </w:rPr>
      </w:pPr>
    </w:p>
    <w:tbl>
      <w:tblPr>
        <w:tblStyle w:val="TableGrid"/>
        <w:tblW w:w="0" w:type="auto"/>
        <w:jc w:val="center"/>
        <w:tblLook w:val="04A0" w:firstRow="1" w:lastRow="0" w:firstColumn="1" w:lastColumn="0" w:noHBand="0" w:noVBand="1"/>
        <w:tblCaption w:val="Table 6: ZmPsy1, CRTI and PMI protein content in various tissues of GR2E (averaged across four sites) grown in the 2016 dry season"/>
      </w:tblPr>
      <w:tblGrid>
        <w:gridCol w:w="2224"/>
        <w:gridCol w:w="1097"/>
        <w:gridCol w:w="1054"/>
        <w:gridCol w:w="1134"/>
        <w:gridCol w:w="993"/>
        <w:gridCol w:w="993"/>
        <w:gridCol w:w="1433"/>
      </w:tblGrid>
      <w:tr w:rsidR="00333AC0" w14:paraId="20643ACA" w14:textId="77777777" w:rsidTr="00011A05">
        <w:trPr>
          <w:trHeight w:val="410"/>
          <w:jc w:val="center"/>
        </w:trPr>
        <w:tc>
          <w:tcPr>
            <w:tcW w:w="2224" w:type="dxa"/>
            <w:vMerge w:val="restart"/>
            <w:shd w:val="clear" w:color="auto" w:fill="9BBB59" w:themeFill="accent3"/>
            <w:vAlign w:val="center"/>
          </w:tcPr>
          <w:p w14:paraId="20643AC6"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Sample type</w:t>
            </w:r>
          </w:p>
        </w:tc>
        <w:tc>
          <w:tcPr>
            <w:tcW w:w="2151" w:type="dxa"/>
            <w:gridSpan w:val="2"/>
            <w:shd w:val="clear" w:color="auto" w:fill="9BBB59" w:themeFill="accent3"/>
            <w:vAlign w:val="center"/>
          </w:tcPr>
          <w:p w14:paraId="20643AC7"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i/>
                <w:color w:val="FFFFFF" w:themeColor="background1"/>
                <w:szCs w:val="20"/>
                <w:lang w:bidi="ar-SA"/>
              </w:rPr>
              <w:t>Zm</w:t>
            </w:r>
            <w:r w:rsidRPr="003C3A66">
              <w:rPr>
                <w:rFonts w:cs="Arial"/>
                <w:b/>
                <w:color w:val="FFFFFF" w:themeColor="background1"/>
                <w:szCs w:val="20"/>
                <w:lang w:bidi="ar-SA"/>
              </w:rPr>
              <w:t>PSY1 (ng/g fw)</w:t>
            </w:r>
          </w:p>
        </w:tc>
        <w:tc>
          <w:tcPr>
            <w:tcW w:w="2127" w:type="dxa"/>
            <w:gridSpan w:val="2"/>
            <w:shd w:val="clear" w:color="auto" w:fill="9BBB59" w:themeFill="accent3"/>
            <w:vAlign w:val="center"/>
          </w:tcPr>
          <w:p w14:paraId="20643AC8" w14:textId="77777777" w:rsidR="00333AC0" w:rsidRPr="000C7361" w:rsidRDefault="00333AC0" w:rsidP="00011A05">
            <w:pPr>
              <w:rPr>
                <w:lang w:val="en-AU" w:bidi="ar-SA"/>
              </w:rPr>
            </w:pPr>
            <w:r w:rsidRPr="001F6BA5">
              <w:rPr>
                <w:rFonts w:cs="Arial"/>
                <w:b/>
                <w:color w:val="FFFFFF" w:themeColor="background1"/>
                <w:szCs w:val="20"/>
                <w:lang w:bidi="ar-SA"/>
              </w:rPr>
              <w:t>CRTI</w:t>
            </w:r>
            <w:r>
              <w:rPr>
                <w:rFonts w:cs="Arial"/>
                <w:b/>
                <w:color w:val="FFFFFF" w:themeColor="background1"/>
                <w:szCs w:val="20"/>
                <w:lang w:bidi="ar-SA"/>
              </w:rPr>
              <w:t xml:space="preserve"> (ng/g fw)</w:t>
            </w:r>
          </w:p>
        </w:tc>
        <w:tc>
          <w:tcPr>
            <w:tcW w:w="2426" w:type="dxa"/>
            <w:gridSpan w:val="2"/>
            <w:shd w:val="clear" w:color="auto" w:fill="9BBB59" w:themeFill="accent3"/>
            <w:vAlign w:val="center"/>
          </w:tcPr>
          <w:p w14:paraId="20643AC9"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PMI</w:t>
            </w:r>
            <w:r>
              <w:rPr>
                <w:rFonts w:cs="Arial"/>
                <w:b/>
                <w:color w:val="FFFFFF" w:themeColor="background1"/>
                <w:szCs w:val="20"/>
                <w:lang w:bidi="ar-SA"/>
              </w:rPr>
              <w:t xml:space="preserve"> (ng/g fw)</w:t>
            </w:r>
          </w:p>
        </w:tc>
      </w:tr>
      <w:tr w:rsidR="00333AC0" w14:paraId="20643AD2" w14:textId="77777777" w:rsidTr="00011A05">
        <w:trPr>
          <w:trHeight w:val="416"/>
          <w:jc w:val="center"/>
        </w:trPr>
        <w:tc>
          <w:tcPr>
            <w:tcW w:w="2224" w:type="dxa"/>
            <w:vMerge/>
            <w:shd w:val="clear" w:color="auto" w:fill="9BBB59" w:themeFill="accent3"/>
            <w:vAlign w:val="center"/>
          </w:tcPr>
          <w:p w14:paraId="20643ACB"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p>
        </w:tc>
        <w:tc>
          <w:tcPr>
            <w:tcW w:w="1097" w:type="dxa"/>
            <w:shd w:val="clear" w:color="auto" w:fill="9BBB59" w:themeFill="accent3"/>
            <w:vAlign w:val="center"/>
          </w:tcPr>
          <w:p w14:paraId="20643ACC"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color w:val="FFFFFF" w:themeColor="background1"/>
                <w:szCs w:val="20"/>
                <w:lang w:bidi="ar-SA"/>
              </w:rPr>
              <w:t>Mean</w:t>
            </w:r>
          </w:p>
        </w:tc>
        <w:tc>
          <w:tcPr>
            <w:tcW w:w="1054" w:type="dxa"/>
            <w:shd w:val="clear" w:color="auto" w:fill="9BBB59" w:themeFill="accent3"/>
            <w:vAlign w:val="center"/>
          </w:tcPr>
          <w:p w14:paraId="20643ACD" w14:textId="77777777" w:rsidR="00333AC0" w:rsidRPr="003C3A66" w:rsidRDefault="00333AC0" w:rsidP="00011A05">
            <w:pPr>
              <w:widowControl/>
              <w:autoSpaceDE w:val="0"/>
              <w:autoSpaceDN w:val="0"/>
              <w:adjustRightInd w:val="0"/>
              <w:jc w:val="center"/>
              <w:rPr>
                <w:rFonts w:cs="Arial"/>
                <w:b/>
                <w:color w:val="FFFFFF" w:themeColor="background1"/>
                <w:szCs w:val="20"/>
                <w:lang w:bidi="ar-SA"/>
              </w:rPr>
            </w:pPr>
            <w:r w:rsidRPr="003C3A66">
              <w:rPr>
                <w:rFonts w:cs="Arial"/>
                <w:b/>
                <w:color w:val="FFFFFF" w:themeColor="background1"/>
                <w:szCs w:val="20"/>
                <w:lang w:bidi="ar-SA"/>
              </w:rPr>
              <w:t>Range</w:t>
            </w:r>
          </w:p>
        </w:tc>
        <w:tc>
          <w:tcPr>
            <w:tcW w:w="1134" w:type="dxa"/>
            <w:shd w:val="clear" w:color="auto" w:fill="9BBB59" w:themeFill="accent3"/>
            <w:vAlign w:val="center"/>
          </w:tcPr>
          <w:p w14:paraId="20643ACE"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Mean</w:t>
            </w:r>
          </w:p>
        </w:tc>
        <w:tc>
          <w:tcPr>
            <w:tcW w:w="993" w:type="dxa"/>
            <w:shd w:val="clear" w:color="auto" w:fill="9BBB59" w:themeFill="accent3"/>
            <w:vAlign w:val="center"/>
          </w:tcPr>
          <w:p w14:paraId="20643ACF"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Range</w:t>
            </w:r>
          </w:p>
        </w:tc>
        <w:tc>
          <w:tcPr>
            <w:tcW w:w="993" w:type="dxa"/>
            <w:shd w:val="clear" w:color="auto" w:fill="9BBB59" w:themeFill="accent3"/>
            <w:vAlign w:val="center"/>
          </w:tcPr>
          <w:p w14:paraId="20643AD0"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Mean</w:t>
            </w:r>
          </w:p>
        </w:tc>
        <w:tc>
          <w:tcPr>
            <w:tcW w:w="1433" w:type="dxa"/>
            <w:shd w:val="clear" w:color="auto" w:fill="9BBB59" w:themeFill="accent3"/>
            <w:vAlign w:val="center"/>
          </w:tcPr>
          <w:p w14:paraId="20643AD1" w14:textId="77777777" w:rsidR="00333AC0" w:rsidRPr="001F6BA5" w:rsidRDefault="00333AC0" w:rsidP="00011A05">
            <w:pPr>
              <w:widowControl/>
              <w:autoSpaceDE w:val="0"/>
              <w:autoSpaceDN w:val="0"/>
              <w:adjustRightInd w:val="0"/>
              <w:jc w:val="center"/>
              <w:rPr>
                <w:rFonts w:cs="Arial"/>
                <w:b/>
                <w:color w:val="FFFFFF" w:themeColor="background1"/>
                <w:szCs w:val="20"/>
                <w:lang w:bidi="ar-SA"/>
              </w:rPr>
            </w:pPr>
            <w:r w:rsidRPr="001F6BA5">
              <w:rPr>
                <w:rFonts w:cs="Arial"/>
                <w:b/>
                <w:color w:val="FFFFFF" w:themeColor="background1"/>
                <w:szCs w:val="20"/>
                <w:lang w:bidi="ar-SA"/>
              </w:rPr>
              <w:t>Range</w:t>
            </w:r>
          </w:p>
        </w:tc>
      </w:tr>
      <w:tr w:rsidR="00333AC0" w14:paraId="20643ADA" w14:textId="77777777" w:rsidTr="00011A05">
        <w:trPr>
          <w:jc w:val="center"/>
        </w:trPr>
        <w:tc>
          <w:tcPr>
            <w:tcW w:w="2224" w:type="dxa"/>
            <w:vAlign w:val="center"/>
          </w:tcPr>
          <w:p w14:paraId="20643AD3"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Grain (milk stage)</w:t>
            </w:r>
          </w:p>
        </w:tc>
        <w:tc>
          <w:tcPr>
            <w:tcW w:w="1097" w:type="dxa"/>
            <w:vAlign w:val="center"/>
          </w:tcPr>
          <w:p w14:paraId="20643AD4"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161.7</w:t>
            </w:r>
          </w:p>
        </w:tc>
        <w:tc>
          <w:tcPr>
            <w:tcW w:w="1054" w:type="dxa"/>
            <w:vAlign w:val="center"/>
          </w:tcPr>
          <w:p w14:paraId="20643AD5" w14:textId="77777777" w:rsidR="00333AC0" w:rsidRPr="003C3A66" w:rsidRDefault="00333AC0" w:rsidP="00011A05">
            <w:pPr>
              <w:widowControl/>
              <w:autoSpaceDE w:val="0"/>
              <w:autoSpaceDN w:val="0"/>
              <w:adjustRightInd w:val="0"/>
              <w:jc w:val="center"/>
              <w:rPr>
                <w:rFonts w:cs="Arial"/>
                <w:color w:val="000000" w:themeColor="text1"/>
                <w:szCs w:val="20"/>
                <w:lang w:bidi="ar-SA"/>
              </w:rPr>
            </w:pPr>
            <w:r w:rsidRPr="003C3A66">
              <w:rPr>
                <w:rFonts w:cs="Arial"/>
                <w:color w:val="000000" w:themeColor="text1"/>
                <w:szCs w:val="20"/>
                <w:lang w:bidi="ar-SA"/>
              </w:rPr>
              <w:t>138.5 – 184.6</w:t>
            </w:r>
          </w:p>
        </w:tc>
        <w:tc>
          <w:tcPr>
            <w:tcW w:w="1134" w:type="dxa"/>
            <w:vAlign w:val="center"/>
          </w:tcPr>
          <w:p w14:paraId="20643AD6"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36.6</w:t>
            </w:r>
          </w:p>
        </w:tc>
        <w:tc>
          <w:tcPr>
            <w:tcW w:w="993" w:type="dxa"/>
            <w:vAlign w:val="center"/>
          </w:tcPr>
          <w:p w14:paraId="20643AD7"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31.4 – 40.0</w:t>
            </w:r>
          </w:p>
        </w:tc>
        <w:tc>
          <w:tcPr>
            <w:tcW w:w="993" w:type="dxa"/>
            <w:vAlign w:val="center"/>
          </w:tcPr>
          <w:p w14:paraId="20643AD8"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1828.4</w:t>
            </w:r>
          </w:p>
        </w:tc>
        <w:tc>
          <w:tcPr>
            <w:tcW w:w="1433" w:type="dxa"/>
            <w:vAlign w:val="center"/>
          </w:tcPr>
          <w:p w14:paraId="20643AD9"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1352 – 2083</w:t>
            </w:r>
          </w:p>
        </w:tc>
      </w:tr>
      <w:tr w:rsidR="00333AC0" w14:paraId="20643AE2" w14:textId="77777777" w:rsidTr="00011A05">
        <w:trPr>
          <w:jc w:val="center"/>
        </w:trPr>
        <w:tc>
          <w:tcPr>
            <w:tcW w:w="2224" w:type="dxa"/>
            <w:shd w:val="clear" w:color="auto" w:fill="EAF1DD" w:themeFill="accent3" w:themeFillTint="33"/>
            <w:vAlign w:val="center"/>
          </w:tcPr>
          <w:p w14:paraId="20643ADB"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Grain (dough stage)</w:t>
            </w:r>
          </w:p>
        </w:tc>
        <w:tc>
          <w:tcPr>
            <w:tcW w:w="1097" w:type="dxa"/>
            <w:shd w:val="clear" w:color="auto" w:fill="EAF1DD" w:themeFill="accent3" w:themeFillTint="33"/>
            <w:vAlign w:val="center"/>
          </w:tcPr>
          <w:p w14:paraId="20643ADC"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328.9</w:t>
            </w:r>
          </w:p>
        </w:tc>
        <w:tc>
          <w:tcPr>
            <w:tcW w:w="1054" w:type="dxa"/>
            <w:shd w:val="clear" w:color="auto" w:fill="EAF1DD" w:themeFill="accent3" w:themeFillTint="33"/>
            <w:vAlign w:val="center"/>
          </w:tcPr>
          <w:p w14:paraId="20643ADD" w14:textId="77777777" w:rsidR="00333AC0" w:rsidRPr="003C3A66" w:rsidRDefault="00333AC0" w:rsidP="00011A05">
            <w:pPr>
              <w:widowControl/>
              <w:autoSpaceDE w:val="0"/>
              <w:autoSpaceDN w:val="0"/>
              <w:adjustRightInd w:val="0"/>
              <w:jc w:val="center"/>
              <w:rPr>
                <w:rFonts w:cs="Arial"/>
                <w:color w:val="000000" w:themeColor="text1"/>
                <w:szCs w:val="20"/>
                <w:lang w:bidi="ar-SA"/>
              </w:rPr>
            </w:pPr>
            <w:r w:rsidRPr="003C3A66">
              <w:rPr>
                <w:rFonts w:cs="Arial"/>
                <w:color w:val="000000" w:themeColor="text1"/>
                <w:szCs w:val="20"/>
                <w:lang w:bidi="ar-SA"/>
              </w:rPr>
              <w:t>308.2 – 356.4</w:t>
            </w:r>
          </w:p>
        </w:tc>
        <w:tc>
          <w:tcPr>
            <w:tcW w:w="1134" w:type="dxa"/>
            <w:shd w:val="clear" w:color="auto" w:fill="EAF1DD" w:themeFill="accent3" w:themeFillTint="33"/>
            <w:vAlign w:val="center"/>
          </w:tcPr>
          <w:p w14:paraId="20643ADE"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60.3</w:t>
            </w:r>
          </w:p>
        </w:tc>
        <w:tc>
          <w:tcPr>
            <w:tcW w:w="993" w:type="dxa"/>
            <w:shd w:val="clear" w:color="auto" w:fill="EAF1DD" w:themeFill="accent3" w:themeFillTint="33"/>
            <w:vAlign w:val="center"/>
          </w:tcPr>
          <w:p w14:paraId="20643ADF"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53.8 – 68.0</w:t>
            </w:r>
          </w:p>
        </w:tc>
        <w:tc>
          <w:tcPr>
            <w:tcW w:w="993" w:type="dxa"/>
            <w:shd w:val="clear" w:color="auto" w:fill="EAF1DD" w:themeFill="accent3" w:themeFillTint="33"/>
            <w:vAlign w:val="center"/>
          </w:tcPr>
          <w:p w14:paraId="20643AE0"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2130.7</w:t>
            </w:r>
          </w:p>
        </w:tc>
        <w:tc>
          <w:tcPr>
            <w:tcW w:w="1433" w:type="dxa"/>
            <w:shd w:val="clear" w:color="auto" w:fill="EAF1DD" w:themeFill="accent3" w:themeFillTint="33"/>
            <w:vAlign w:val="center"/>
          </w:tcPr>
          <w:p w14:paraId="20643AE1"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1912 – 2397</w:t>
            </w:r>
          </w:p>
        </w:tc>
      </w:tr>
      <w:tr w:rsidR="00333AC0" w14:paraId="20643AEA" w14:textId="77777777" w:rsidTr="00011A05">
        <w:trPr>
          <w:jc w:val="center"/>
        </w:trPr>
        <w:tc>
          <w:tcPr>
            <w:tcW w:w="2224" w:type="dxa"/>
            <w:vAlign w:val="center"/>
          </w:tcPr>
          <w:p w14:paraId="20643AE3" w14:textId="77777777" w:rsidR="00333AC0" w:rsidRPr="002C09CB" w:rsidRDefault="00333AC0" w:rsidP="00011A05">
            <w:pPr>
              <w:widowControl/>
              <w:autoSpaceDE w:val="0"/>
              <w:autoSpaceDN w:val="0"/>
              <w:adjustRightInd w:val="0"/>
              <w:jc w:val="center"/>
              <w:rPr>
                <w:rFonts w:cs="Arial"/>
                <w:szCs w:val="20"/>
                <w:lang w:bidi="ar-SA"/>
              </w:rPr>
            </w:pPr>
            <w:r>
              <w:rPr>
                <w:rFonts w:cs="Arial"/>
                <w:szCs w:val="20"/>
                <w:lang w:bidi="ar-SA"/>
              </w:rPr>
              <w:t>Grain (m</w:t>
            </w:r>
            <w:r w:rsidRPr="002C09CB">
              <w:rPr>
                <w:rFonts w:cs="Arial"/>
                <w:szCs w:val="20"/>
                <w:lang w:bidi="ar-SA"/>
              </w:rPr>
              <w:t>ature stage)</w:t>
            </w:r>
          </w:p>
        </w:tc>
        <w:tc>
          <w:tcPr>
            <w:tcW w:w="1097" w:type="dxa"/>
            <w:vAlign w:val="center"/>
          </w:tcPr>
          <w:p w14:paraId="20643AE4" w14:textId="77777777" w:rsidR="00333AC0" w:rsidRPr="003C3A66" w:rsidRDefault="00333AC0" w:rsidP="00011A05">
            <w:pPr>
              <w:widowControl/>
              <w:autoSpaceDE w:val="0"/>
              <w:autoSpaceDN w:val="0"/>
              <w:adjustRightInd w:val="0"/>
              <w:jc w:val="center"/>
              <w:rPr>
                <w:rFonts w:cs="Arial"/>
                <w:szCs w:val="20"/>
                <w:lang w:bidi="ar-SA"/>
              </w:rPr>
            </w:pPr>
            <w:r w:rsidRPr="003C3A66">
              <w:rPr>
                <w:rFonts w:cs="Arial"/>
                <w:szCs w:val="20"/>
                <w:lang w:bidi="ar-SA"/>
              </w:rPr>
              <w:t>220.2</w:t>
            </w:r>
          </w:p>
        </w:tc>
        <w:tc>
          <w:tcPr>
            <w:tcW w:w="1054" w:type="dxa"/>
            <w:vAlign w:val="center"/>
          </w:tcPr>
          <w:p w14:paraId="20643AE5" w14:textId="77777777" w:rsidR="00333AC0" w:rsidRPr="003C3A66" w:rsidRDefault="00333AC0" w:rsidP="00011A05">
            <w:pPr>
              <w:widowControl/>
              <w:autoSpaceDE w:val="0"/>
              <w:autoSpaceDN w:val="0"/>
              <w:adjustRightInd w:val="0"/>
              <w:jc w:val="center"/>
              <w:rPr>
                <w:rFonts w:cs="Arial"/>
                <w:color w:val="000000" w:themeColor="text1"/>
                <w:szCs w:val="20"/>
                <w:lang w:bidi="ar-SA"/>
              </w:rPr>
            </w:pPr>
            <w:r w:rsidRPr="003C3A66">
              <w:rPr>
                <w:rFonts w:cs="Arial"/>
                <w:color w:val="000000" w:themeColor="text1"/>
                <w:szCs w:val="20"/>
                <w:lang w:bidi="ar-SA"/>
              </w:rPr>
              <w:t>195.7 – 239.6</w:t>
            </w:r>
          </w:p>
        </w:tc>
        <w:tc>
          <w:tcPr>
            <w:tcW w:w="1134" w:type="dxa"/>
            <w:vAlign w:val="center"/>
          </w:tcPr>
          <w:p w14:paraId="20643AE6"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22.8</w:t>
            </w:r>
          </w:p>
        </w:tc>
        <w:tc>
          <w:tcPr>
            <w:tcW w:w="993" w:type="dxa"/>
            <w:vAlign w:val="center"/>
          </w:tcPr>
          <w:p w14:paraId="20643AE7"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16.6 – 27.4</w:t>
            </w:r>
          </w:p>
        </w:tc>
        <w:tc>
          <w:tcPr>
            <w:tcW w:w="993" w:type="dxa"/>
            <w:vAlign w:val="center"/>
          </w:tcPr>
          <w:p w14:paraId="20643AE8"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1195</w:t>
            </w:r>
          </w:p>
        </w:tc>
        <w:tc>
          <w:tcPr>
            <w:tcW w:w="1433" w:type="dxa"/>
            <w:vAlign w:val="center"/>
          </w:tcPr>
          <w:p w14:paraId="20643AE9"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765 – 1780</w:t>
            </w:r>
          </w:p>
        </w:tc>
      </w:tr>
      <w:tr w:rsidR="00333AC0" w14:paraId="20643AF2" w14:textId="77777777" w:rsidTr="00011A05">
        <w:trPr>
          <w:trHeight w:val="506"/>
          <w:jc w:val="center"/>
        </w:trPr>
        <w:tc>
          <w:tcPr>
            <w:tcW w:w="2224" w:type="dxa"/>
            <w:shd w:val="clear" w:color="auto" w:fill="EAF1DD" w:themeFill="accent3" w:themeFillTint="33"/>
            <w:vAlign w:val="center"/>
          </w:tcPr>
          <w:p w14:paraId="20643AEB" w14:textId="77777777" w:rsidR="00333AC0" w:rsidRPr="002C09CB" w:rsidRDefault="00333AC0" w:rsidP="00011A05">
            <w:pPr>
              <w:widowControl/>
              <w:autoSpaceDE w:val="0"/>
              <w:autoSpaceDN w:val="0"/>
              <w:adjustRightInd w:val="0"/>
              <w:jc w:val="center"/>
              <w:rPr>
                <w:rFonts w:cs="Arial"/>
                <w:szCs w:val="20"/>
                <w:lang w:bidi="ar-SA"/>
              </w:rPr>
            </w:pPr>
            <w:r w:rsidRPr="002C09CB">
              <w:rPr>
                <w:rFonts w:cs="Arial"/>
                <w:szCs w:val="20"/>
                <w:lang w:bidi="ar-SA"/>
              </w:rPr>
              <w:t>Straw</w:t>
            </w:r>
          </w:p>
        </w:tc>
        <w:tc>
          <w:tcPr>
            <w:tcW w:w="1097" w:type="dxa"/>
            <w:shd w:val="clear" w:color="auto" w:fill="EAF1DD" w:themeFill="accent3" w:themeFillTint="33"/>
            <w:vAlign w:val="center"/>
          </w:tcPr>
          <w:p w14:paraId="20643AEC" w14:textId="77777777" w:rsidR="00333AC0" w:rsidRPr="003C3A66" w:rsidRDefault="00333AC0" w:rsidP="00011A05">
            <w:pPr>
              <w:widowControl/>
              <w:autoSpaceDE w:val="0"/>
              <w:autoSpaceDN w:val="0"/>
              <w:adjustRightInd w:val="0"/>
              <w:jc w:val="center"/>
              <w:rPr>
                <w:rFonts w:cs="Arial"/>
                <w:szCs w:val="20"/>
                <w:vertAlign w:val="superscript"/>
                <w:lang w:bidi="ar-SA"/>
              </w:rPr>
            </w:pPr>
            <w:r w:rsidRPr="003C3A66">
              <w:rPr>
                <w:rFonts w:cs="Arial"/>
                <w:szCs w:val="20"/>
                <w:lang w:bidi="ar-SA"/>
              </w:rPr>
              <w:t>&lt;LOQ</w:t>
            </w:r>
            <w:r w:rsidRPr="003C3A66">
              <w:rPr>
                <w:rFonts w:cs="Arial"/>
                <w:szCs w:val="20"/>
                <w:vertAlign w:val="superscript"/>
                <w:lang w:bidi="ar-SA"/>
              </w:rPr>
              <w:t>1</w:t>
            </w:r>
          </w:p>
        </w:tc>
        <w:tc>
          <w:tcPr>
            <w:tcW w:w="1054" w:type="dxa"/>
            <w:shd w:val="clear" w:color="auto" w:fill="EAF1DD" w:themeFill="accent3" w:themeFillTint="33"/>
            <w:vAlign w:val="center"/>
          </w:tcPr>
          <w:p w14:paraId="20643AED" w14:textId="77777777" w:rsidR="00333AC0" w:rsidRPr="003C3A66" w:rsidRDefault="00333AC0" w:rsidP="00011A05">
            <w:pPr>
              <w:widowControl/>
              <w:autoSpaceDE w:val="0"/>
              <w:autoSpaceDN w:val="0"/>
              <w:adjustRightInd w:val="0"/>
              <w:jc w:val="center"/>
              <w:rPr>
                <w:rFonts w:cs="Arial"/>
                <w:color w:val="000000" w:themeColor="text1"/>
                <w:szCs w:val="20"/>
                <w:lang w:bidi="ar-SA"/>
              </w:rPr>
            </w:pPr>
            <w:r w:rsidRPr="003C3A66">
              <w:rPr>
                <w:rFonts w:cs="Arial"/>
                <w:color w:val="000000" w:themeColor="text1"/>
                <w:szCs w:val="20"/>
                <w:lang w:bidi="ar-SA"/>
              </w:rPr>
              <w:t>&lt;LOQ</w:t>
            </w:r>
          </w:p>
        </w:tc>
        <w:tc>
          <w:tcPr>
            <w:tcW w:w="1134" w:type="dxa"/>
            <w:shd w:val="clear" w:color="auto" w:fill="EAF1DD" w:themeFill="accent3" w:themeFillTint="33"/>
            <w:vAlign w:val="center"/>
          </w:tcPr>
          <w:p w14:paraId="20643AEE"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&lt;LOQ</w:t>
            </w:r>
          </w:p>
        </w:tc>
        <w:tc>
          <w:tcPr>
            <w:tcW w:w="993" w:type="dxa"/>
            <w:shd w:val="clear" w:color="auto" w:fill="EAF1DD" w:themeFill="accent3" w:themeFillTint="33"/>
            <w:vAlign w:val="center"/>
          </w:tcPr>
          <w:p w14:paraId="20643AEF"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&lt;LOQ</w:t>
            </w:r>
          </w:p>
        </w:tc>
        <w:tc>
          <w:tcPr>
            <w:tcW w:w="993" w:type="dxa"/>
            <w:shd w:val="clear" w:color="auto" w:fill="EAF1DD" w:themeFill="accent3" w:themeFillTint="33"/>
            <w:vAlign w:val="center"/>
          </w:tcPr>
          <w:p w14:paraId="20643AF0"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498.0</w:t>
            </w:r>
          </w:p>
        </w:tc>
        <w:tc>
          <w:tcPr>
            <w:tcW w:w="1433" w:type="dxa"/>
            <w:shd w:val="clear" w:color="auto" w:fill="EAF1DD" w:themeFill="accent3" w:themeFillTint="33"/>
            <w:vAlign w:val="center"/>
          </w:tcPr>
          <w:p w14:paraId="20643AF1" w14:textId="77777777" w:rsidR="00333AC0" w:rsidRPr="00DF5BBE" w:rsidRDefault="00333AC0" w:rsidP="00011A05">
            <w:pPr>
              <w:widowControl/>
              <w:autoSpaceDE w:val="0"/>
              <w:autoSpaceDN w:val="0"/>
              <w:adjustRightInd w:val="0"/>
              <w:jc w:val="center"/>
              <w:rPr>
                <w:rFonts w:cs="Arial"/>
                <w:color w:val="000000" w:themeColor="text1"/>
                <w:szCs w:val="20"/>
                <w:lang w:bidi="ar-SA"/>
              </w:rPr>
            </w:pPr>
            <w:r w:rsidRPr="00DF5BBE">
              <w:rPr>
                <w:rFonts w:cs="Arial"/>
                <w:color w:val="000000" w:themeColor="text1"/>
                <w:szCs w:val="20"/>
                <w:lang w:bidi="ar-SA"/>
              </w:rPr>
              <w:t>339 – 796</w:t>
            </w:r>
          </w:p>
        </w:tc>
      </w:tr>
    </w:tbl>
    <w:p w14:paraId="20643AF3" w14:textId="77777777" w:rsidR="00333AC0" w:rsidRPr="000C7361" w:rsidRDefault="00333AC0" w:rsidP="00011A05">
      <w:pPr>
        <w:widowControl/>
        <w:autoSpaceDE w:val="0"/>
        <w:autoSpaceDN w:val="0"/>
        <w:adjustRightInd w:val="0"/>
        <w:rPr>
          <w:rFonts w:cs="Arial"/>
          <w:sz w:val="20"/>
          <w:szCs w:val="20"/>
          <w:lang w:eastAsia="en-GB" w:bidi="ar-SA"/>
        </w:rPr>
      </w:pPr>
      <w:r>
        <w:rPr>
          <w:rFonts w:cs="Arial"/>
          <w:sz w:val="20"/>
          <w:szCs w:val="20"/>
          <w:vertAlign w:val="superscript"/>
          <w:lang w:eastAsia="en-GB" w:bidi="ar-SA"/>
        </w:rPr>
        <w:t>1</w:t>
      </w:r>
      <w:r w:rsidRPr="000C7361">
        <w:rPr>
          <w:rFonts w:cs="Arial"/>
          <w:sz w:val="20"/>
          <w:szCs w:val="20"/>
          <w:lang w:eastAsia="en-GB" w:bidi="ar-SA"/>
        </w:rPr>
        <w:t xml:space="preserve"> </w:t>
      </w:r>
      <w:r w:rsidRPr="00105178">
        <w:rPr>
          <w:rFonts w:cs="Arial"/>
          <w:sz w:val="20"/>
          <w:szCs w:val="20"/>
          <w:lang w:eastAsia="en-GB" w:bidi="ar-SA"/>
        </w:rPr>
        <w:t xml:space="preserve">LOQ = Limit of quantification, which for the </w:t>
      </w:r>
      <w:r w:rsidRPr="00105178">
        <w:rPr>
          <w:rFonts w:cs="Arial"/>
          <w:i/>
          <w:iCs/>
          <w:sz w:val="20"/>
          <w:szCs w:val="20"/>
          <w:lang w:eastAsia="en-GB" w:bidi="ar-SA"/>
        </w:rPr>
        <w:t>Zm</w:t>
      </w:r>
      <w:r w:rsidRPr="00105178">
        <w:rPr>
          <w:rFonts w:cs="Arial"/>
          <w:sz w:val="20"/>
          <w:szCs w:val="20"/>
          <w:lang w:eastAsia="en-GB" w:bidi="ar-SA"/>
        </w:rPr>
        <w:t>PSY</w:t>
      </w:r>
      <w:r>
        <w:rPr>
          <w:rFonts w:cs="Arial"/>
          <w:sz w:val="20"/>
          <w:szCs w:val="20"/>
          <w:lang w:eastAsia="en-GB" w:bidi="ar-SA"/>
        </w:rPr>
        <w:t>1 ELISA in</w:t>
      </w:r>
      <w:r w:rsidRPr="00105178">
        <w:rPr>
          <w:rFonts w:cs="Arial"/>
          <w:sz w:val="20"/>
          <w:szCs w:val="20"/>
          <w:lang w:eastAsia="en-GB" w:bidi="ar-SA"/>
        </w:rPr>
        <w:t xml:space="preserve"> straw (stem) samples was 55.4 ng/g FWT </w:t>
      </w:r>
      <w:r>
        <w:rPr>
          <w:rFonts w:cs="Arial"/>
          <w:sz w:val="20"/>
          <w:szCs w:val="20"/>
          <w:lang w:eastAsia="en-GB" w:bidi="ar-SA"/>
        </w:rPr>
        <w:t>and for CRTI in straw samples was 1.94 ng/g fw</w:t>
      </w:r>
      <w:r w:rsidRPr="00105178">
        <w:rPr>
          <w:rFonts w:cs="Arial"/>
          <w:sz w:val="20"/>
          <w:szCs w:val="20"/>
          <w:lang w:eastAsia="en-GB" w:bidi="ar-SA"/>
        </w:rPr>
        <w:t>.</w:t>
      </w:r>
    </w:p>
    <w:p w14:paraId="20643AF4" w14:textId="77777777" w:rsidR="00333AC0" w:rsidRPr="00105178" w:rsidRDefault="00333AC0" w:rsidP="00011A05">
      <w:pPr>
        <w:widowControl/>
        <w:autoSpaceDE w:val="0"/>
        <w:autoSpaceDN w:val="0"/>
        <w:adjustRightInd w:val="0"/>
        <w:rPr>
          <w:rFonts w:cs="Arial"/>
          <w:sz w:val="20"/>
          <w:szCs w:val="20"/>
          <w:lang w:eastAsia="en-GB" w:bidi="ar-SA"/>
        </w:rPr>
      </w:pPr>
    </w:p>
    <w:p w14:paraId="20643AF5"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Measurable but low concentrations of both PSY1 and CRTI proteins were found in all GR2E grain developmental stages but not in GR2E stem/straw tissue. Levels of CRTI were lower than </w:t>
      </w:r>
      <w:r w:rsidRPr="001F6BA5">
        <w:rPr>
          <w:rFonts w:ascii="CharterBT-Roman" w:hAnsi="CharterBT-Roman" w:cs="CharterBT-Roman"/>
          <w:i/>
          <w:szCs w:val="22"/>
          <w:lang w:eastAsia="en-GB" w:bidi="ar-SA"/>
        </w:rPr>
        <w:t>Zm</w:t>
      </w:r>
      <w:r>
        <w:rPr>
          <w:rFonts w:ascii="CharterBT-Roman" w:hAnsi="CharterBT-Roman" w:cs="CharterBT-Roman"/>
          <w:szCs w:val="22"/>
          <w:lang w:eastAsia="en-GB" w:bidi="ar-SA"/>
        </w:rPr>
        <w:t xml:space="preserve">PSY1; both proteins had the highest mean concentration in grain at dough stage, ranging between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308–359 ng/g and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54–68 ng/g for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and CRTI, respectively, across both growing seasons. Concentrations of PMI protein were significantly higher than either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or CRTI in samples from all grain growth stages and were highest in dough-stage grain, averaging </w:t>
      </w:r>
      <w:r>
        <w:rPr>
          <w:rFonts w:ascii="CharterBT-Italic" w:hAnsi="CharterBT-Italic" w:cs="CharterBT-Italic"/>
          <w:i/>
          <w:iCs/>
          <w:szCs w:val="22"/>
          <w:lang w:eastAsia="en-GB" w:bidi="ar-SA"/>
        </w:rPr>
        <w:t>ca</w:t>
      </w:r>
      <w:r>
        <w:rPr>
          <w:rFonts w:ascii="CharterBT-Roman" w:hAnsi="CharterBT-Roman" w:cs="CharterBT-Roman"/>
          <w:szCs w:val="22"/>
          <w:lang w:eastAsia="en-GB" w:bidi="ar-SA"/>
        </w:rPr>
        <w:t>. 2015 ng/g across the four locations over both growing seasons.</w:t>
      </w:r>
    </w:p>
    <w:p w14:paraId="20643AF6"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AF7"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Concentrations of </w:t>
      </w:r>
      <w:r>
        <w:rPr>
          <w:rFonts w:ascii="CharterBT-Italic" w:hAnsi="CharterBT-Italic" w:cs="CharterBT-Italic"/>
          <w:i/>
          <w:iCs/>
          <w:szCs w:val="22"/>
          <w:lang w:eastAsia="en-GB" w:bidi="ar-SA"/>
        </w:rPr>
        <w:t>Zm</w:t>
      </w:r>
      <w:r>
        <w:rPr>
          <w:rFonts w:ascii="CharterBT-Roman" w:hAnsi="CharterBT-Roman" w:cs="CharterBT-Roman"/>
          <w:szCs w:val="22"/>
          <w:lang w:eastAsia="en-GB" w:bidi="ar-SA"/>
        </w:rPr>
        <w:t>PSY1, CRTI, and PMI were below the limit of quantification in all tissue samples collected from control non-transformed Rc82 rice.</w:t>
      </w:r>
    </w:p>
    <w:p w14:paraId="20643AF8" w14:textId="77777777" w:rsidR="00333AC0" w:rsidRDefault="00333AC0" w:rsidP="00011A05">
      <w:pPr>
        <w:pStyle w:val="Heading3"/>
      </w:pPr>
      <w:r w:rsidRPr="00975AA1">
        <w:t>4.1.4</w:t>
      </w:r>
      <w:r w:rsidRPr="00975AA1">
        <w:tab/>
        <w:t>Characterisation of the proteins produced in GR2E</w:t>
      </w:r>
    </w:p>
    <w:p w14:paraId="20643AF9" w14:textId="77777777" w:rsidR="00333AC0" w:rsidRPr="00493C58" w:rsidRDefault="00333AC0" w:rsidP="00011A05">
      <w:pPr>
        <w:rPr>
          <w:lang w:eastAsia="en-AU" w:bidi="ar-SA"/>
        </w:rPr>
      </w:pPr>
      <w:r w:rsidRPr="00F473B2">
        <w:rPr>
          <w:rFonts w:cs="Arial"/>
          <w:color w:val="000000" w:themeColor="text1"/>
          <w:szCs w:val="22"/>
          <w:lang w:eastAsia="en-AU" w:bidi="ar-SA"/>
        </w:rPr>
        <w:t xml:space="preserve">In </w:t>
      </w:r>
      <w:r>
        <w:rPr>
          <w:rFonts w:cs="Arial"/>
          <w:color w:val="000000" w:themeColor="text1"/>
          <w:szCs w:val="22"/>
          <w:lang w:eastAsia="en-AU" w:bidi="ar-SA"/>
        </w:rPr>
        <w:t xml:space="preserve">many cases, insufficient amounts of newly-expressed proteins for </w:t>
      </w:r>
      <w:r w:rsidRPr="00F473B2">
        <w:rPr>
          <w:rFonts w:cs="Arial"/>
          <w:color w:val="000000" w:themeColor="text1"/>
          <w:szCs w:val="22"/>
        </w:rPr>
        <w:t>safety evaluations (e.g. pepsin digestibility and heat stability studies, acute oral toxicity testing and use as a calibration standard for quantitative ELISA)</w:t>
      </w:r>
      <w:r>
        <w:rPr>
          <w:rFonts w:cs="Arial"/>
          <w:color w:val="000000" w:themeColor="text1"/>
          <w:szCs w:val="22"/>
        </w:rPr>
        <w:t xml:space="preserve"> </w:t>
      </w:r>
      <w:r>
        <w:rPr>
          <w:rFonts w:cs="Arial"/>
          <w:color w:val="000000" w:themeColor="text1"/>
          <w:szCs w:val="22"/>
          <w:lang w:eastAsia="en-AU" w:bidi="ar-SA"/>
        </w:rPr>
        <w:t>are obtained from the plant</w:t>
      </w:r>
      <w:r w:rsidRPr="00F473B2">
        <w:rPr>
          <w:rFonts w:cs="Arial"/>
          <w:color w:val="000000" w:themeColor="text1"/>
          <w:szCs w:val="22"/>
        </w:rPr>
        <w:t>. A standard practice in such cases is to produce the proteins for these evaluations in a microbial system and directly confirm their equivalence to the plant-p</w:t>
      </w:r>
      <w:r>
        <w:rPr>
          <w:rFonts w:cs="Arial"/>
          <w:color w:val="000000" w:themeColor="text1"/>
          <w:szCs w:val="22"/>
        </w:rPr>
        <w:t>roduced proteins in simultaneous</w:t>
      </w:r>
      <w:r w:rsidRPr="00F473B2">
        <w:rPr>
          <w:rFonts w:cs="Arial"/>
          <w:color w:val="000000" w:themeColor="text1"/>
          <w:szCs w:val="22"/>
        </w:rPr>
        <w:t xml:space="preserve"> analyses.</w:t>
      </w:r>
      <w:r>
        <w:rPr>
          <w:rFonts w:cs="Arial"/>
          <w:color w:val="000000" w:themeColor="text1"/>
          <w:szCs w:val="22"/>
        </w:rPr>
        <w:t xml:space="preserve"> Hence, individual studies will concurrently determine both the structural and functional characteristics of the plant-purified protein as well as the similarity, to the plant protein, of the equivalent microbially-produced protein.</w:t>
      </w:r>
    </w:p>
    <w:p w14:paraId="20643AFA" w14:textId="77777777" w:rsidR="00333AC0" w:rsidRPr="00556750" w:rsidRDefault="00333AC0" w:rsidP="00011A05">
      <w:pPr>
        <w:rPr>
          <w:lang w:eastAsia="en-AU" w:bidi="ar-SA"/>
        </w:rPr>
      </w:pPr>
    </w:p>
    <w:p w14:paraId="20643AFB" w14:textId="77777777" w:rsidR="00333AC0" w:rsidRPr="0091392E" w:rsidRDefault="00333AC0" w:rsidP="00011A05">
      <w:pPr>
        <w:pBdr>
          <w:top w:val="single" w:sz="4" w:space="1" w:color="auto"/>
          <w:left w:val="single" w:sz="4" w:space="4" w:color="auto"/>
          <w:bottom w:val="single" w:sz="4" w:space="1" w:color="auto"/>
          <w:right w:val="single" w:sz="4" w:space="4" w:color="auto"/>
        </w:pBdr>
        <w:ind w:left="284" w:hanging="284"/>
        <w:rPr>
          <w:rFonts w:cs="Arial"/>
          <w:b/>
          <w:sz w:val="20"/>
          <w:szCs w:val="20"/>
          <w:lang w:eastAsia="en-AU" w:bidi="ar-SA"/>
        </w:rPr>
      </w:pPr>
      <w:r w:rsidRPr="0091392E">
        <w:rPr>
          <w:rFonts w:cs="Arial"/>
          <w:b/>
          <w:sz w:val="20"/>
          <w:szCs w:val="20"/>
          <w:lang w:eastAsia="en-AU" w:bidi="ar-SA"/>
        </w:rPr>
        <w:t>Studies submitted</w:t>
      </w:r>
    </w:p>
    <w:p w14:paraId="20643AFC" w14:textId="77777777" w:rsidR="00333AC0" w:rsidRPr="0091392E" w:rsidRDefault="00333AC0" w:rsidP="00011A05">
      <w:pPr>
        <w:pBdr>
          <w:top w:val="single" w:sz="4" w:space="1" w:color="auto"/>
          <w:left w:val="single" w:sz="4" w:space="4" w:color="auto"/>
          <w:bottom w:val="single" w:sz="4" w:space="1" w:color="auto"/>
          <w:right w:val="single" w:sz="4" w:space="4" w:color="auto"/>
        </w:pBdr>
        <w:ind w:left="284" w:hanging="284"/>
        <w:rPr>
          <w:rFonts w:cs="Arial"/>
          <w:sz w:val="20"/>
          <w:szCs w:val="20"/>
          <w:lang w:eastAsia="en-AU" w:bidi="ar-SA"/>
        </w:rPr>
      </w:pPr>
    </w:p>
    <w:p w14:paraId="20643AFD" w14:textId="77777777" w:rsidR="00333AC0" w:rsidRPr="006D24F8"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6D24F8">
        <w:rPr>
          <w:rFonts w:cs="Arial"/>
          <w:sz w:val="20"/>
          <w:szCs w:val="20"/>
          <w:lang w:eastAsia="en-GB" w:bidi="ar-SA"/>
        </w:rPr>
        <w:t>. Characterization of CRTI protein (Lot Number M20454-02) derived from a microbial expression system. Technical report, IR2016-02004 (unpublished) International Rice Research Institute, Los Banos, Laguna, Philippines</w:t>
      </w:r>
    </w:p>
    <w:p w14:paraId="20643AFE" w14:textId="77777777" w:rsidR="00333AC0" w:rsidRPr="006D24F8"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6D24F8">
        <w:rPr>
          <w:rFonts w:cs="Arial"/>
          <w:sz w:val="20"/>
          <w:szCs w:val="20"/>
          <w:lang w:eastAsia="en-GB" w:bidi="ar-SA"/>
        </w:rPr>
        <w:t>. Characterization of CRTI protein (Lot Number M20603) derived from a microbial expression system. Technical report, IR2016-03002 (unpublished) International Rice Research Institute, Los Banos, Laguna, Philippines (unpublished) International Rice Research Institute, Los Banos, Laguna, Philippines</w:t>
      </w:r>
    </w:p>
    <w:p w14:paraId="20643B01" w14:textId="00A27C4C" w:rsidR="00333AC0" w:rsidRPr="00011A05"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6D24F8">
        <w:rPr>
          <w:rFonts w:cs="Arial"/>
          <w:sz w:val="20"/>
          <w:szCs w:val="20"/>
          <w:lang w:eastAsia="en-GB" w:bidi="ar-SA"/>
        </w:rPr>
        <w:t>. Characterization of ZmPSY1 protein (Lot Number M20452-05) derived from a microbial expression system. Technical report, IR2016-02005 (unpublished), International Rice Research Institute, Los Banos, Laguna, Philippines</w:t>
      </w:r>
    </w:p>
    <w:p w14:paraId="20643B02" w14:textId="77777777" w:rsidR="00333AC0" w:rsidRPr="00975AA1" w:rsidRDefault="00333AC0" w:rsidP="00011A05">
      <w:pPr>
        <w:pStyle w:val="FSCh6Subsec"/>
        <w:ind w:left="0"/>
        <w:rPr>
          <w:b w:val="0"/>
          <w:sz w:val="22"/>
          <w:szCs w:val="22"/>
        </w:rPr>
      </w:pPr>
      <w:r>
        <w:rPr>
          <w:sz w:val="22"/>
          <w:szCs w:val="22"/>
        </w:rPr>
        <w:t>4.1.4.1</w:t>
      </w:r>
      <w:r>
        <w:rPr>
          <w:sz w:val="22"/>
          <w:szCs w:val="22"/>
        </w:rPr>
        <w:tab/>
      </w:r>
      <w:r w:rsidRPr="00975AA1">
        <w:rPr>
          <w:sz w:val="22"/>
          <w:szCs w:val="22"/>
        </w:rPr>
        <w:t>ZmPSY1 and CRTI</w:t>
      </w:r>
    </w:p>
    <w:p w14:paraId="20643B03" w14:textId="77777777" w:rsidR="00333AC0" w:rsidRDefault="00333AC0" w:rsidP="00011A05">
      <w:pPr>
        <w:rPr>
          <w:color w:val="000000" w:themeColor="text1"/>
        </w:rPr>
      </w:pPr>
    </w:p>
    <w:p w14:paraId="20643B04" w14:textId="77777777" w:rsidR="00333AC0" w:rsidRDefault="00333AC0" w:rsidP="00011A05">
      <w:pPr>
        <w:widowControl/>
        <w:autoSpaceDE w:val="0"/>
        <w:autoSpaceDN w:val="0"/>
        <w:adjustRightInd w:val="0"/>
        <w:rPr>
          <w:rFonts w:cs="Arial"/>
          <w:szCs w:val="22"/>
          <w:lang w:eastAsia="en-GB" w:bidi="ar-SA"/>
        </w:rPr>
      </w:pPr>
      <w:r w:rsidRPr="00556750">
        <w:rPr>
          <w:rFonts w:cs="Arial"/>
          <w:szCs w:val="22"/>
          <w:lang w:eastAsia="en-GB" w:bidi="ar-SA"/>
        </w:rPr>
        <w:t xml:space="preserve">Both the </w:t>
      </w:r>
      <w:r w:rsidRPr="00556750">
        <w:rPr>
          <w:rFonts w:cs="Arial"/>
          <w:i/>
          <w:iCs/>
          <w:szCs w:val="22"/>
          <w:lang w:eastAsia="en-GB" w:bidi="ar-SA"/>
        </w:rPr>
        <w:t>Zm</w:t>
      </w:r>
      <w:r w:rsidRPr="00556750">
        <w:rPr>
          <w:rFonts w:cs="Arial"/>
          <w:szCs w:val="22"/>
          <w:lang w:eastAsia="en-GB" w:bidi="ar-SA"/>
        </w:rPr>
        <w:t>PSY1 and CRTI proteins are peripheral membrane as</w:t>
      </w:r>
      <w:r>
        <w:rPr>
          <w:rFonts w:cs="Arial"/>
          <w:szCs w:val="22"/>
          <w:lang w:eastAsia="en-GB" w:bidi="ar-SA"/>
        </w:rPr>
        <w:t xml:space="preserve">sociated proteins, and as such, are </w:t>
      </w:r>
      <w:r w:rsidRPr="00556750">
        <w:rPr>
          <w:rFonts w:cs="Arial"/>
          <w:szCs w:val="22"/>
          <w:lang w:eastAsia="en-GB" w:bidi="ar-SA"/>
        </w:rPr>
        <w:t xml:space="preserve">difficult to work with. </w:t>
      </w:r>
      <w:r>
        <w:rPr>
          <w:rFonts w:cs="Arial"/>
          <w:szCs w:val="22"/>
          <w:lang w:eastAsia="en-GB" w:bidi="ar-SA"/>
        </w:rPr>
        <w:t xml:space="preserve">This, combined with the very low expression levels in GR2E rice grains made them </w:t>
      </w:r>
      <w:r w:rsidRPr="00556750">
        <w:rPr>
          <w:rFonts w:cs="Arial"/>
          <w:szCs w:val="22"/>
          <w:lang w:eastAsia="en-GB" w:bidi="ar-SA"/>
        </w:rPr>
        <w:t xml:space="preserve">intractable </w:t>
      </w:r>
      <w:r>
        <w:rPr>
          <w:rFonts w:cs="Arial"/>
          <w:szCs w:val="22"/>
          <w:lang w:eastAsia="en-GB" w:bidi="ar-SA"/>
        </w:rPr>
        <w:t>to standard methods or purification</w:t>
      </w:r>
      <w:r w:rsidRPr="00556750">
        <w:rPr>
          <w:rFonts w:cs="Arial"/>
          <w:szCs w:val="22"/>
          <w:lang w:eastAsia="en-GB" w:bidi="ar-SA"/>
        </w:rPr>
        <w:t xml:space="preserve"> </w:t>
      </w:r>
      <w:r w:rsidRPr="00556750">
        <w:rPr>
          <w:rFonts w:cs="Arial"/>
          <w:noProof/>
          <w:color w:val="000000" w:themeColor="text1"/>
          <w:szCs w:val="22"/>
          <w:lang w:eastAsia="en-GB" w:bidi="ar-SA"/>
        </w:rPr>
        <w:t>(Bushey et al. 2014)</w:t>
      </w:r>
      <w:r w:rsidRPr="00556750">
        <w:rPr>
          <w:rFonts w:cs="Arial"/>
          <w:color w:val="000000" w:themeColor="text1"/>
          <w:szCs w:val="22"/>
          <w:lang w:eastAsia="en-GB" w:bidi="ar-SA"/>
        </w:rPr>
        <w:t xml:space="preserve"> </w:t>
      </w:r>
      <w:r>
        <w:rPr>
          <w:rFonts w:cs="Arial"/>
          <w:szCs w:val="22"/>
          <w:lang w:eastAsia="en-GB" w:bidi="ar-SA"/>
        </w:rPr>
        <w:t>meaning it was not possible to obtain sufficient quantities for characterisation</w:t>
      </w:r>
      <w:r w:rsidRPr="00556750">
        <w:rPr>
          <w:rFonts w:cs="Arial"/>
          <w:szCs w:val="22"/>
          <w:lang w:eastAsia="en-GB" w:bidi="ar-SA"/>
        </w:rPr>
        <w:t xml:space="preserve">. </w:t>
      </w:r>
    </w:p>
    <w:p w14:paraId="20643B05" w14:textId="77777777" w:rsidR="00333AC0" w:rsidRDefault="00333AC0" w:rsidP="00011A05">
      <w:pPr>
        <w:widowControl/>
        <w:autoSpaceDE w:val="0"/>
        <w:autoSpaceDN w:val="0"/>
        <w:adjustRightInd w:val="0"/>
        <w:rPr>
          <w:rFonts w:cs="Arial"/>
          <w:szCs w:val="22"/>
          <w:lang w:eastAsia="en-GB" w:bidi="ar-SA"/>
        </w:rPr>
      </w:pPr>
    </w:p>
    <w:p w14:paraId="20643B06" w14:textId="77777777" w:rsidR="00333AC0" w:rsidRPr="00B275D4" w:rsidRDefault="00333AC0" w:rsidP="00011A05">
      <w:pPr>
        <w:widowControl/>
        <w:autoSpaceDE w:val="0"/>
        <w:autoSpaceDN w:val="0"/>
        <w:adjustRightInd w:val="0"/>
        <w:rPr>
          <w:rFonts w:cs="Arial"/>
          <w:szCs w:val="22"/>
          <w:lang w:eastAsia="en-GB" w:bidi="ar-SA"/>
        </w:rPr>
      </w:pPr>
      <w:r w:rsidRPr="00F473B2">
        <w:rPr>
          <w:rFonts w:cs="Arial"/>
          <w:color w:val="000000" w:themeColor="text1"/>
          <w:szCs w:val="22"/>
          <w:lang w:eastAsia="en-GB" w:bidi="ar-SA"/>
        </w:rPr>
        <w:t>Therefore, a weight of evidence approach had to be used to assess th</w:t>
      </w:r>
      <w:r>
        <w:rPr>
          <w:rFonts w:cs="Arial"/>
          <w:color w:val="000000" w:themeColor="text1"/>
          <w:szCs w:val="22"/>
          <w:lang w:eastAsia="en-GB" w:bidi="ar-SA"/>
        </w:rPr>
        <w:t>e equivalence of the</w:t>
      </w:r>
      <w:r w:rsidRPr="00F473B2">
        <w:rPr>
          <w:rFonts w:cs="Arial"/>
          <w:color w:val="000000" w:themeColor="text1"/>
          <w:szCs w:val="22"/>
          <w:lang w:eastAsia="en-GB" w:bidi="ar-SA"/>
        </w:rPr>
        <w:t xml:space="preserve"> </w:t>
      </w:r>
      <w:r>
        <w:rPr>
          <w:rFonts w:cs="Arial"/>
          <w:color w:val="000000" w:themeColor="text1"/>
          <w:szCs w:val="22"/>
          <w:lang w:eastAsia="en-GB" w:bidi="ar-SA"/>
        </w:rPr>
        <w:t xml:space="preserve">plant </w:t>
      </w:r>
      <w:r w:rsidRPr="00F473B2">
        <w:rPr>
          <w:rFonts w:cs="Arial"/>
          <w:color w:val="000000" w:themeColor="text1"/>
          <w:szCs w:val="22"/>
          <w:lang w:eastAsia="en-GB" w:bidi="ar-SA"/>
        </w:rPr>
        <w:t>protein</w:t>
      </w:r>
      <w:r>
        <w:rPr>
          <w:rFonts w:cs="Arial"/>
          <w:color w:val="000000" w:themeColor="text1"/>
          <w:szCs w:val="22"/>
          <w:lang w:eastAsia="en-GB" w:bidi="ar-SA"/>
        </w:rPr>
        <w:t>s</w:t>
      </w:r>
      <w:r w:rsidRPr="00F473B2">
        <w:rPr>
          <w:rFonts w:cs="Arial"/>
          <w:color w:val="000000" w:themeColor="text1"/>
          <w:szCs w:val="22"/>
          <w:lang w:eastAsia="en-GB" w:bidi="ar-SA"/>
        </w:rPr>
        <w:t xml:space="preserve"> with the microbially-produced protein</w:t>
      </w:r>
      <w:r>
        <w:rPr>
          <w:rFonts w:cs="Arial"/>
          <w:color w:val="000000" w:themeColor="text1"/>
          <w:szCs w:val="22"/>
          <w:lang w:eastAsia="en-GB" w:bidi="ar-SA"/>
        </w:rPr>
        <w:t xml:space="preserve">s and hence to indirectly characterise the plant-produced proteins. It is noted, however, that the sequence analysis of the GR2E insert confirmed the expected sequences of both the </w:t>
      </w:r>
      <w:r>
        <w:rPr>
          <w:rFonts w:cs="Arial"/>
          <w:i/>
          <w:color w:val="000000" w:themeColor="text1"/>
          <w:szCs w:val="22"/>
          <w:lang w:eastAsia="en-GB" w:bidi="ar-SA"/>
        </w:rPr>
        <w:t xml:space="preserve">Zmpsy1 </w:t>
      </w:r>
      <w:r>
        <w:rPr>
          <w:rFonts w:cs="Arial"/>
          <w:color w:val="000000" w:themeColor="text1"/>
          <w:szCs w:val="22"/>
          <w:lang w:eastAsia="en-GB" w:bidi="ar-SA"/>
        </w:rPr>
        <w:t xml:space="preserve">and </w:t>
      </w:r>
      <w:r>
        <w:rPr>
          <w:rFonts w:cs="Arial"/>
          <w:i/>
          <w:color w:val="000000" w:themeColor="text1"/>
          <w:szCs w:val="22"/>
          <w:lang w:eastAsia="en-GB" w:bidi="ar-SA"/>
        </w:rPr>
        <w:t>crtI</w:t>
      </w:r>
      <w:r>
        <w:rPr>
          <w:rFonts w:cs="Arial"/>
          <w:color w:val="000000" w:themeColor="text1"/>
          <w:szCs w:val="22"/>
          <w:lang w:eastAsia="en-GB" w:bidi="ar-SA"/>
        </w:rPr>
        <w:t xml:space="preserve"> genes. From these, the expected protein sequences were translated (</w:t>
      </w:r>
      <w:r w:rsidRPr="00B275D4">
        <w:rPr>
          <w:rFonts w:cs="Arial"/>
          <w:color w:val="000000" w:themeColor="text1"/>
          <w:szCs w:val="22"/>
          <w:lang w:eastAsia="en-GB" w:bidi="ar-SA"/>
        </w:rPr>
        <w:t xml:space="preserve">see Section 4.1.1). It is also noted that, since β-carotene was produced in GR2E (see Section 5.3.5) the expected phenotype was achieved and hence that functional </w:t>
      </w:r>
      <w:r w:rsidRPr="00B275D4">
        <w:rPr>
          <w:rFonts w:cs="Arial"/>
          <w:i/>
          <w:color w:val="000000" w:themeColor="text1"/>
          <w:szCs w:val="22"/>
          <w:lang w:eastAsia="en-GB" w:bidi="ar-SA"/>
        </w:rPr>
        <w:t>Zm</w:t>
      </w:r>
      <w:r w:rsidRPr="00B275D4">
        <w:rPr>
          <w:rFonts w:cs="Arial"/>
          <w:color w:val="000000" w:themeColor="text1"/>
          <w:szCs w:val="22"/>
          <w:lang w:eastAsia="en-GB" w:bidi="ar-SA"/>
        </w:rPr>
        <w:t>PSY1 and CRTI proteins had been expressed.</w:t>
      </w:r>
    </w:p>
    <w:p w14:paraId="20643B07" w14:textId="77777777" w:rsidR="00333AC0" w:rsidRPr="00B275D4" w:rsidRDefault="00333AC0" w:rsidP="00011A05">
      <w:pPr>
        <w:widowControl/>
        <w:autoSpaceDE w:val="0"/>
        <w:autoSpaceDN w:val="0"/>
        <w:adjustRightInd w:val="0"/>
        <w:rPr>
          <w:rFonts w:cs="Arial"/>
          <w:szCs w:val="22"/>
          <w:lang w:eastAsia="en-GB" w:bidi="ar-SA"/>
        </w:rPr>
      </w:pPr>
    </w:p>
    <w:p w14:paraId="20643B08" w14:textId="77777777" w:rsidR="00333AC0" w:rsidRPr="00B275D4" w:rsidRDefault="00333AC0" w:rsidP="00011A05">
      <w:pPr>
        <w:widowControl/>
        <w:autoSpaceDE w:val="0"/>
        <w:autoSpaceDN w:val="0"/>
        <w:adjustRightInd w:val="0"/>
        <w:rPr>
          <w:rFonts w:cs="Arial"/>
          <w:szCs w:val="22"/>
          <w:lang w:eastAsia="en-GB" w:bidi="ar-SA"/>
        </w:rPr>
      </w:pPr>
      <w:r w:rsidRPr="00B275D4">
        <w:rPr>
          <w:rFonts w:cs="Arial"/>
          <w:color w:val="000000" w:themeColor="text1"/>
          <w:szCs w:val="22"/>
        </w:rPr>
        <w:t>The two proteins were produced as fusion proteins</w:t>
      </w:r>
      <w:r w:rsidRPr="00B275D4">
        <w:rPr>
          <w:rStyle w:val="FootnoteReference"/>
          <w:rFonts w:cs="Arial"/>
          <w:color w:val="000000" w:themeColor="text1"/>
          <w:szCs w:val="22"/>
        </w:rPr>
        <w:footnoteReference w:id="11"/>
      </w:r>
      <w:r w:rsidRPr="00B275D4">
        <w:rPr>
          <w:rFonts w:cs="Arial"/>
          <w:color w:val="000000" w:themeColor="text1"/>
          <w:szCs w:val="22"/>
        </w:rPr>
        <w:t xml:space="preserve"> in </w:t>
      </w:r>
      <w:r w:rsidRPr="00B275D4">
        <w:rPr>
          <w:rFonts w:cs="Arial"/>
          <w:i/>
          <w:color w:val="000000" w:themeColor="text1"/>
          <w:szCs w:val="22"/>
        </w:rPr>
        <w:t xml:space="preserve">Escherichia coli. </w:t>
      </w:r>
      <w:r w:rsidRPr="00B275D4">
        <w:rPr>
          <w:rFonts w:cs="Arial"/>
          <w:color w:val="000000" w:themeColor="text1"/>
          <w:szCs w:val="22"/>
        </w:rPr>
        <w:t xml:space="preserve">The confirmed coding sequences of the </w:t>
      </w:r>
      <w:r w:rsidRPr="00B275D4">
        <w:rPr>
          <w:rFonts w:cs="Arial"/>
          <w:i/>
          <w:color w:val="000000" w:themeColor="text1"/>
          <w:szCs w:val="22"/>
        </w:rPr>
        <w:t xml:space="preserve">Zmpsy1 </w:t>
      </w:r>
      <w:r w:rsidRPr="00B275D4">
        <w:rPr>
          <w:rFonts w:cs="Arial"/>
          <w:color w:val="000000" w:themeColor="text1"/>
          <w:szCs w:val="22"/>
        </w:rPr>
        <w:t xml:space="preserve">and </w:t>
      </w:r>
      <w:r w:rsidRPr="00B275D4">
        <w:rPr>
          <w:rFonts w:cs="Arial"/>
          <w:i/>
          <w:color w:val="000000" w:themeColor="text1"/>
          <w:szCs w:val="22"/>
        </w:rPr>
        <w:t xml:space="preserve">crtI </w:t>
      </w:r>
      <w:r w:rsidRPr="00B275D4">
        <w:rPr>
          <w:rFonts w:cs="Arial"/>
          <w:color w:val="000000" w:themeColor="text1"/>
          <w:szCs w:val="22"/>
        </w:rPr>
        <w:t xml:space="preserve">genes were separately transformed into </w:t>
      </w:r>
      <w:r w:rsidRPr="00B275D4">
        <w:rPr>
          <w:rFonts w:cs="Arial"/>
          <w:i/>
          <w:color w:val="000000" w:themeColor="text1"/>
          <w:szCs w:val="22"/>
        </w:rPr>
        <w:t>E. coli.</w:t>
      </w:r>
      <w:r w:rsidRPr="00B275D4">
        <w:rPr>
          <w:rFonts w:cs="Arial"/>
          <w:color w:val="000000" w:themeColor="text1"/>
          <w:szCs w:val="22"/>
        </w:rPr>
        <w:t xml:space="preserve"> The expressed proteins were then purified by gel filtration chromatography and pooled fractions were concentrated by diafiltration.</w:t>
      </w:r>
    </w:p>
    <w:p w14:paraId="20643B09" w14:textId="77777777" w:rsidR="00333AC0" w:rsidRPr="00B275D4" w:rsidRDefault="00333AC0" w:rsidP="00011A05">
      <w:pPr>
        <w:rPr>
          <w:rFonts w:cs="Arial"/>
          <w:color w:val="000000" w:themeColor="text1"/>
          <w:szCs w:val="22"/>
        </w:rPr>
      </w:pPr>
    </w:p>
    <w:p w14:paraId="20643B0A"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sidRPr="00B275D4">
        <w:rPr>
          <w:rFonts w:ascii="CharterBT-Roman" w:hAnsi="CharterBT-Roman" w:cs="CharterBT-Roman"/>
          <w:noProof/>
          <w:szCs w:val="22"/>
          <w:lang w:eastAsia="en-GB" w:bidi="ar-SA"/>
        </w:rPr>
        <mc:AlternateContent>
          <mc:Choice Requires="wps">
            <w:drawing>
              <wp:anchor distT="0" distB="0" distL="114300" distR="114300" simplePos="0" relativeHeight="251660288" behindDoc="0" locked="0" layoutInCell="1" allowOverlap="1" wp14:anchorId="20643F2E" wp14:editId="20643F2F">
                <wp:simplePos x="0" y="0"/>
                <wp:positionH relativeFrom="column">
                  <wp:posOffset>1509395</wp:posOffset>
                </wp:positionH>
                <wp:positionV relativeFrom="paragraph">
                  <wp:posOffset>466725</wp:posOffset>
                </wp:positionV>
                <wp:extent cx="37147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71475" cy="1524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18.85pt;margin-top:36.75pt;width:29.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" filled="f" strokecolor="red" strokeweight=".25pt"/>
            </w:pict>
          </mc:Fallback>
        </mc:AlternateContent>
      </w:r>
      <w:r w:rsidRPr="00B275D4">
        <w:rPr>
          <w:rFonts w:cs="Arial"/>
          <w:szCs w:val="22"/>
          <w:lang w:eastAsia="en-GB" w:bidi="ar-SA"/>
        </w:rPr>
        <w:t xml:space="preserve">The </w:t>
      </w:r>
      <w:r w:rsidRPr="00B275D4">
        <w:rPr>
          <w:rFonts w:cs="Arial"/>
          <w:i/>
          <w:szCs w:val="22"/>
          <w:lang w:eastAsia="en-GB" w:bidi="ar-SA"/>
        </w:rPr>
        <w:t>Zm</w:t>
      </w:r>
      <w:r w:rsidRPr="00B275D4">
        <w:rPr>
          <w:rFonts w:cs="Arial"/>
          <w:szCs w:val="22"/>
          <w:lang w:eastAsia="en-GB" w:bidi="ar-SA"/>
        </w:rPr>
        <w:t>PSY1</w:t>
      </w:r>
      <w:r w:rsidRPr="00B275D4">
        <w:rPr>
          <w:rFonts w:ascii="CharterBT-Roman" w:hAnsi="CharterBT-Roman" w:cs="CharterBT-Roman"/>
          <w:szCs w:val="22"/>
          <w:lang w:eastAsia="en-GB" w:bidi="ar-SA"/>
        </w:rPr>
        <w:t xml:space="preserve"> fusion protein purified from recombinant </w:t>
      </w:r>
      <w:r w:rsidRPr="00B275D4">
        <w:rPr>
          <w:rFonts w:ascii="CharterBT-Italic" w:hAnsi="CharterBT-Italic" w:cs="CharterBT-Italic"/>
          <w:i/>
          <w:iCs/>
          <w:szCs w:val="22"/>
          <w:lang w:eastAsia="en-GB" w:bidi="ar-SA"/>
        </w:rPr>
        <w:t xml:space="preserve">E. coli </w:t>
      </w:r>
      <w:r w:rsidRPr="00955EC4">
        <w:rPr>
          <w:rFonts w:ascii="CharterBT-Italic" w:hAnsi="CharterBT-Italic" w:cs="CharterBT-Italic"/>
          <w:iCs/>
          <w:szCs w:val="22"/>
          <w:lang w:eastAsia="en-GB" w:bidi="ar-SA"/>
        </w:rPr>
        <w:t>(Figure 12) differed from the ZmPSY expressed in GR2E (Figure 8)</w:t>
      </w:r>
      <w:r>
        <w:rPr>
          <w:rFonts w:ascii="CharterBT-Italic" w:hAnsi="CharterBT-Italic" w:cs="CharterBT-Italic"/>
          <w:iCs/>
          <w:szCs w:val="22"/>
          <w:lang w:eastAsia="en-GB" w:bidi="ar-SA"/>
        </w:rPr>
        <w:t>. The fusion protein</w:t>
      </w:r>
      <w:r w:rsidRPr="00955EC4">
        <w:rPr>
          <w:rFonts w:ascii="CharterBT-Italic" w:hAnsi="CharterBT-Italic" w:cs="CharterBT-Italic"/>
          <w:iCs/>
          <w:szCs w:val="22"/>
          <w:lang w:eastAsia="en-GB" w:bidi="ar-SA"/>
        </w:rPr>
        <w:t xml:space="preserve"> </w:t>
      </w:r>
      <w:r w:rsidRPr="00955EC4">
        <w:rPr>
          <w:rFonts w:ascii="CharterBT-Roman" w:hAnsi="CharterBT-Roman" w:cs="CharterBT-Roman"/>
          <w:szCs w:val="22"/>
          <w:lang w:eastAsia="en-GB" w:bidi="ar-SA"/>
        </w:rPr>
        <w:t>compr</w:t>
      </w:r>
      <w:r w:rsidRPr="00B275D4">
        <w:rPr>
          <w:rFonts w:ascii="CharterBT-Roman" w:hAnsi="CharterBT-Roman" w:cs="CharterBT-Roman"/>
          <w:szCs w:val="22"/>
          <w:lang w:eastAsia="en-GB" w:bidi="ar-SA"/>
        </w:rPr>
        <w:t>ised a 386 residue protein with a 25 residue leader sequence containing an N-terminal (His)</w:t>
      </w:r>
      <w:r w:rsidRPr="00B275D4">
        <w:rPr>
          <w:rFonts w:ascii="URWPalladioL-Roma" w:hAnsi="URWPalladioL-Roma" w:cs="URWPalladioL-Roma"/>
          <w:sz w:val="16"/>
          <w:szCs w:val="16"/>
          <w:lang w:eastAsia="en-GB" w:bidi="ar-SA"/>
        </w:rPr>
        <w:t>6</w:t>
      </w:r>
      <w:r w:rsidRPr="00B275D4">
        <w:rPr>
          <w:rFonts w:ascii="CharterBT-Roman" w:hAnsi="CharterBT-Roman" w:cs="CharterBT-Roman"/>
          <w:szCs w:val="22"/>
          <w:lang w:eastAsia="en-GB" w:bidi="ar-SA"/>
        </w:rPr>
        <w:t xml:space="preserve">-tag sequence and a Factor Xa cleavage </w:t>
      </w:r>
      <w:r w:rsidRPr="00B275D4">
        <w:rPr>
          <w:rFonts w:ascii="CharterBT-Roman" w:hAnsi="CharterBT-Roman" w:cs="CharterBT-Roman"/>
          <w:color w:val="000000" w:themeColor="text1"/>
          <w:szCs w:val="22"/>
          <w:lang w:eastAsia="en-GB" w:bidi="ar-SA"/>
        </w:rPr>
        <w:t>site IEGR</w:t>
      </w:r>
      <w:r w:rsidRPr="00B275D4">
        <w:rPr>
          <w:rFonts w:ascii="CharterBT-Roman" w:hAnsi="CharterBT-Roman" w:cs="CharterBT-Roman"/>
          <w:szCs w:val="22"/>
          <w:lang w:eastAsia="en-GB" w:bidi="ar-SA"/>
        </w:rPr>
        <w:t>. This molecular weight is slightly higher than that of the predicted mature plant protein (39.8 kDa – see Section 4.1.1).</w:t>
      </w:r>
    </w:p>
    <w:p w14:paraId="20643B0B"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0C" w14:textId="77777777" w:rsidR="00333AC0" w:rsidRDefault="00333AC0" w:rsidP="00011A05">
      <w:pPr>
        <w:keepNext/>
        <w:widowControl/>
        <w:autoSpaceDE w:val="0"/>
        <w:autoSpaceDN w:val="0"/>
        <w:adjustRightInd w:val="0"/>
        <w:jc w:val="center"/>
      </w:pPr>
      <w:r>
        <w:rPr>
          <w:noProof/>
          <w:lang w:eastAsia="en-GB" w:bidi="ar-SA"/>
        </w:rPr>
        <w:drawing>
          <wp:inline distT="0" distB="0" distL="0" distR="0" wp14:anchorId="20643F30" wp14:editId="3132D0D9">
            <wp:extent cx="3533775" cy="2634555"/>
            <wp:effectExtent l="0" t="0" r="0" b="0"/>
            <wp:docPr id="11" name="Picture 11" title="Figure 12: Deduced amino acid sequence of the microbially-produced ZmPSY1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2634555"/>
                    </a:xfrm>
                    <a:prstGeom prst="rect">
                      <a:avLst/>
                    </a:prstGeom>
                    <a:noFill/>
                    <a:ln>
                      <a:noFill/>
                    </a:ln>
                  </pic:spPr>
                </pic:pic>
              </a:graphicData>
            </a:graphic>
          </wp:inline>
        </w:drawing>
      </w:r>
    </w:p>
    <w:p w14:paraId="20643B0D" w14:textId="77777777" w:rsidR="00333AC0" w:rsidRPr="007432CB" w:rsidRDefault="00333AC0" w:rsidP="00011A05">
      <w:pPr>
        <w:pStyle w:val="FSFigureTitle"/>
        <w:rPr>
          <w:rFonts w:ascii="CharterBT-Roman" w:hAnsi="CharterBT-Roman" w:cs="CharterBT-Roman"/>
          <w:szCs w:val="22"/>
          <w:lang w:eastAsia="en-GB" w:bidi="ar-SA"/>
        </w:rPr>
      </w:pPr>
      <w:r>
        <w:t xml:space="preserve">Figure </w:t>
      </w:r>
      <w:r>
        <w:fldChar w:fldCharType="begin"/>
      </w:r>
      <w:r>
        <w:instrText xml:space="preserve"> SEQ Figure \* ARABIC </w:instrText>
      </w:r>
      <w:r>
        <w:fldChar w:fldCharType="separate"/>
      </w:r>
      <w:r w:rsidR="00286242">
        <w:rPr>
          <w:noProof/>
        </w:rPr>
        <w:t>12</w:t>
      </w:r>
      <w:r>
        <w:rPr>
          <w:noProof/>
        </w:rPr>
        <w:fldChar w:fldCharType="end"/>
      </w:r>
      <w:r>
        <w:t>: Deduced amino acid sequence of the microbially-produced ZmPSY1 protein</w:t>
      </w:r>
    </w:p>
    <w:p w14:paraId="20643B0E" w14:textId="77777777" w:rsidR="00333AC0" w:rsidRPr="00E71B71" w:rsidRDefault="00333AC0" w:rsidP="00011A05">
      <w:pPr>
        <w:widowControl/>
        <w:autoSpaceDE w:val="0"/>
        <w:autoSpaceDN w:val="0"/>
        <w:adjustRightInd w:val="0"/>
        <w:rPr>
          <w:rFonts w:cs="Arial"/>
          <w:sz w:val="20"/>
          <w:szCs w:val="20"/>
          <w:lang w:eastAsia="en-GB" w:bidi="ar-SA"/>
        </w:rPr>
      </w:pPr>
      <w:r w:rsidRPr="00E71B71">
        <w:rPr>
          <w:rFonts w:cs="Arial"/>
          <w:sz w:val="20"/>
          <w:szCs w:val="20"/>
          <w:lang w:eastAsia="en-GB" w:bidi="ar-SA"/>
        </w:rPr>
        <w:t xml:space="preserve">The N-terminal leader sequence containing the </w:t>
      </w:r>
      <w:r>
        <w:rPr>
          <w:rFonts w:cs="Arial"/>
          <w:sz w:val="20"/>
          <w:szCs w:val="20"/>
          <w:lang w:eastAsia="en-GB" w:bidi="ar-SA"/>
        </w:rPr>
        <w:t>(</w:t>
      </w:r>
      <w:r w:rsidRPr="00E71B71">
        <w:rPr>
          <w:rFonts w:cs="Arial"/>
          <w:sz w:val="20"/>
          <w:szCs w:val="20"/>
          <w:lang w:eastAsia="en-GB" w:bidi="ar-SA"/>
        </w:rPr>
        <w:t>His</w:t>
      </w:r>
      <w:r>
        <w:rPr>
          <w:rFonts w:cs="Arial"/>
          <w:sz w:val="20"/>
          <w:szCs w:val="20"/>
          <w:lang w:eastAsia="en-GB" w:bidi="ar-SA"/>
        </w:rPr>
        <w:t>)</w:t>
      </w:r>
      <w:r w:rsidRPr="00955EC4">
        <w:rPr>
          <w:rFonts w:cs="Arial"/>
          <w:sz w:val="20"/>
          <w:szCs w:val="20"/>
          <w:vertAlign w:val="subscript"/>
          <w:lang w:eastAsia="en-GB" w:bidi="ar-SA"/>
        </w:rPr>
        <w:t>6</w:t>
      </w:r>
      <w:r w:rsidRPr="00E71B71">
        <w:rPr>
          <w:rFonts w:cs="Arial"/>
          <w:sz w:val="20"/>
          <w:szCs w:val="20"/>
          <w:lang w:eastAsia="en-GB" w:bidi="ar-SA"/>
        </w:rPr>
        <w:t>-tag and the factor Xa cleavage</w:t>
      </w:r>
    </w:p>
    <w:p w14:paraId="20643B0F" w14:textId="77777777" w:rsidR="00333AC0" w:rsidRPr="00E71B71" w:rsidRDefault="00333AC0" w:rsidP="00011A05">
      <w:pPr>
        <w:rPr>
          <w:rFonts w:cs="Arial"/>
          <w:sz w:val="20"/>
          <w:szCs w:val="20"/>
          <w:lang w:eastAsia="en-GB" w:bidi="ar-SA"/>
        </w:rPr>
      </w:pPr>
      <w:r w:rsidRPr="00E71B71">
        <w:rPr>
          <w:rFonts w:cs="Arial"/>
          <w:sz w:val="20"/>
          <w:szCs w:val="20"/>
          <w:lang w:eastAsia="en-GB" w:bidi="ar-SA"/>
        </w:rPr>
        <w:t xml:space="preserve">site (IEGR) is </w:t>
      </w:r>
      <w:r>
        <w:rPr>
          <w:rFonts w:cs="Arial"/>
          <w:sz w:val="20"/>
          <w:szCs w:val="20"/>
          <w:lang w:eastAsia="en-GB" w:bidi="ar-SA"/>
        </w:rPr>
        <w:t>underlined</w:t>
      </w:r>
      <w:r w:rsidRPr="00E71B71">
        <w:rPr>
          <w:rFonts w:cs="Arial"/>
          <w:sz w:val="20"/>
          <w:szCs w:val="20"/>
          <w:lang w:eastAsia="en-GB" w:bidi="ar-SA"/>
        </w:rPr>
        <w:t>.</w:t>
      </w:r>
    </w:p>
    <w:p w14:paraId="20643B10" w14:textId="77777777" w:rsidR="00333AC0" w:rsidRDefault="00333AC0" w:rsidP="00011A05">
      <w:pPr>
        <w:rPr>
          <w:color w:val="000000" w:themeColor="text1"/>
        </w:rPr>
      </w:pPr>
    </w:p>
    <w:p w14:paraId="20643B11"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sidRPr="00890672">
        <w:rPr>
          <w:rFonts w:cs="Arial"/>
          <w:szCs w:val="22"/>
          <w:lang w:eastAsia="en-GB" w:bidi="ar-SA"/>
        </w:rPr>
        <w:t xml:space="preserve"> </w:t>
      </w:r>
      <w:r w:rsidRPr="00B275D4">
        <w:rPr>
          <w:rFonts w:cs="Arial"/>
          <w:szCs w:val="22"/>
          <w:lang w:eastAsia="en-GB" w:bidi="ar-SA"/>
        </w:rPr>
        <w:t xml:space="preserve">The </w:t>
      </w:r>
      <w:r w:rsidRPr="00890672">
        <w:rPr>
          <w:rFonts w:cs="Arial"/>
          <w:szCs w:val="22"/>
          <w:lang w:eastAsia="en-GB" w:bidi="ar-SA"/>
        </w:rPr>
        <w:t>CRTI</w:t>
      </w:r>
      <w:r w:rsidRPr="00890672">
        <w:rPr>
          <w:rFonts w:ascii="CharterBT-Roman" w:hAnsi="CharterBT-Roman" w:cs="CharterBT-Roman"/>
          <w:szCs w:val="22"/>
          <w:lang w:eastAsia="en-GB" w:bidi="ar-SA"/>
        </w:rPr>
        <w:t xml:space="preserve"> fusion</w:t>
      </w:r>
      <w:r w:rsidRPr="00B275D4">
        <w:rPr>
          <w:rFonts w:ascii="CharterBT-Roman" w:hAnsi="CharterBT-Roman" w:cs="CharterBT-Roman"/>
          <w:szCs w:val="22"/>
          <w:lang w:eastAsia="en-GB" w:bidi="ar-SA"/>
        </w:rPr>
        <w:t xml:space="preserve"> protein purified from recombinant </w:t>
      </w:r>
      <w:r w:rsidRPr="00B275D4">
        <w:rPr>
          <w:rFonts w:ascii="CharterBT-Italic" w:hAnsi="CharterBT-Italic" w:cs="CharterBT-Italic"/>
          <w:i/>
          <w:iCs/>
          <w:szCs w:val="22"/>
          <w:lang w:eastAsia="en-GB" w:bidi="ar-SA"/>
        </w:rPr>
        <w:t xml:space="preserve">E. coli </w:t>
      </w:r>
      <w:r>
        <w:rPr>
          <w:rFonts w:ascii="CharterBT-Italic" w:hAnsi="CharterBT-Italic" w:cs="CharterBT-Italic"/>
          <w:iCs/>
          <w:szCs w:val="22"/>
          <w:lang w:eastAsia="en-GB" w:bidi="ar-SA"/>
        </w:rPr>
        <w:t>(Figure 13</w:t>
      </w:r>
      <w:r w:rsidRPr="00955EC4">
        <w:rPr>
          <w:rFonts w:ascii="CharterBT-Italic" w:hAnsi="CharterBT-Italic" w:cs="CharterBT-Italic"/>
          <w:iCs/>
          <w:szCs w:val="22"/>
          <w:lang w:eastAsia="en-GB" w:bidi="ar-SA"/>
        </w:rPr>
        <w:t xml:space="preserve">) differed from the </w:t>
      </w:r>
      <w:r>
        <w:rPr>
          <w:rFonts w:ascii="CharterBT-Italic" w:hAnsi="CharterBT-Italic" w:cs="CharterBT-Italic"/>
          <w:iCs/>
          <w:szCs w:val="22"/>
          <w:lang w:eastAsia="en-GB" w:bidi="ar-SA"/>
        </w:rPr>
        <w:t>CRTI</w:t>
      </w:r>
      <w:r w:rsidRPr="00955EC4">
        <w:rPr>
          <w:rFonts w:ascii="CharterBT-Italic" w:hAnsi="CharterBT-Italic" w:cs="CharterBT-Italic"/>
          <w:iCs/>
          <w:szCs w:val="22"/>
          <w:lang w:eastAsia="en-GB" w:bidi="ar-SA"/>
        </w:rPr>
        <w:t xml:space="preserve"> expressed in GR2E (Figure </w:t>
      </w:r>
      <w:r>
        <w:rPr>
          <w:rFonts w:ascii="CharterBT-Italic" w:hAnsi="CharterBT-Italic" w:cs="CharterBT-Italic"/>
          <w:iCs/>
          <w:szCs w:val="22"/>
          <w:lang w:eastAsia="en-GB" w:bidi="ar-SA"/>
        </w:rPr>
        <w:t>9</w:t>
      </w:r>
      <w:r w:rsidRPr="00955EC4">
        <w:rPr>
          <w:rFonts w:ascii="CharterBT-Italic" w:hAnsi="CharterBT-Italic" w:cs="CharterBT-Italic"/>
          <w:iCs/>
          <w:szCs w:val="22"/>
          <w:lang w:eastAsia="en-GB" w:bidi="ar-SA"/>
        </w:rPr>
        <w:t>)</w:t>
      </w:r>
      <w:r>
        <w:rPr>
          <w:rFonts w:ascii="CharterBT-Italic" w:hAnsi="CharterBT-Italic" w:cs="CharterBT-Italic"/>
          <w:iCs/>
          <w:szCs w:val="22"/>
          <w:lang w:eastAsia="en-GB" w:bidi="ar-SA"/>
        </w:rPr>
        <w:t>. The fusion protein</w:t>
      </w:r>
      <w:r w:rsidRPr="00955EC4">
        <w:rPr>
          <w:rFonts w:ascii="CharterBT-Italic" w:hAnsi="CharterBT-Italic" w:cs="CharterBT-Italic"/>
          <w:iCs/>
          <w:szCs w:val="22"/>
          <w:lang w:eastAsia="en-GB" w:bidi="ar-SA"/>
        </w:rPr>
        <w:t xml:space="preserve"> </w:t>
      </w:r>
      <w:r w:rsidRPr="00955EC4">
        <w:rPr>
          <w:rFonts w:ascii="CharterBT-Roman" w:hAnsi="CharterBT-Roman" w:cs="CharterBT-Roman"/>
          <w:szCs w:val="22"/>
          <w:lang w:eastAsia="en-GB" w:bidi="ar-SA"/>
        </w:rPr>
        <w:t>compr</w:t>
      </w:r>
      <w:r w:rsidRPr="00B275D4">
        <w:rPr>
          <w:rFonts w:ascii="CharterBT-Roman" w:hAnsi="CharterBT-Roman" w:cs="CharterBT-Roman"/>
          <w:szCs w:val="22"/>
          <w:lang w:eastAsia="en-GB" w:bidi="ar-SA"/>
        </w:rPr>
        <w:t xml:space="preserve">ised </w:t>
      </w:r>
      <w:r>
        <w:rPr>
          <w:rFonts w:ascii="CharterBT-Roman" w:hAnsi="CharterBT-Roman" w:cs="CharterBT-Roman"/>
          <w:szCs w:val="22"/>
          <w:lang w:eastAsia="en-GB" w:bidi="ar-SA"/>
        </w:rPr>
        <w:t>a full-length version of the CRTI protein with a GGS linker and C-terminal (His)</w:t>
      </w:r>
      <w:r>
        <w:rPr>
          <w:rFonts w:ascii="URWPalladioL-Roma" w:hAnsi="URWPalladioL-Roma" w:cs="URWPalladioL-Roma"/>
          <w:sz w:val="16"/>
          <w:szCs w:val="16"/>
          <w:lang w:eastAsia="en-GB" w:bidi="ar-SA"/>
        </w:rPr>
        <w:t>6</w:t>
      </w:r>
      <w:r>
        <w:rPr>
          <w:rFonts w:ascii="CharterBT-Roman" w:hAnsi="CharterBT-Roman" w:cs="CharterBT-Roman"/>
          <w:szCs w:val="22"/>
          <w:lang w:eastAsia="en-GB" w:bidi="ar-SA"/>
        </w:rPr>
        <w:t xml:space="preserve">-tag </w:t>
      </w:r>
      <w:r w:rsidRPr="00B275D4">
        <w:rPr>
          <w:rFonts w:ascii="CharterBT-Roman" w:hAnsi="CharterBT-Roman" w:cs="CharterBT-Roman"/>
          <w:szCs w:val="22"/>
          <w:lang w:eastAsia="en-GB" w:bidi="ar-SA"/>
        </w:rPr>
        <w:t>. Thus, the</w:t>
      </w:r>
      <w:r>
        <w:rPr>
          <w:rFonts w:ascii="CharterBT-Roman" w:hAnsi="CharterBT-Roman" w:cs="CharterBT-Roman"/>
          <w:szCs w:val="22"/>
          <w:lang w:eastAsia="en-GB" w:bidi="ar-SA"/>
        </w:rPr>
        <w:t xml:space="preserve"> microbially-produced protein contains 501 amino acids and has a calculated molecular weight of 56.0 kDa.</w:t>
      </w:r>
    </w:p>
    <w:p w14:paraId="20643B12"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noProof/>
          <w:szCs w:val="22"/>
          <w:lang w:eastAsia="en-GB" w:bidi="ar-SA"/>
        </w:rPr>
        <mc:AlternateContent>
          <mc:Choice Requires="wps">
            <w:drawing>
              <wp:anchor distT="0" distB="0" distL="114300" distR="114300" simplePos="0" relativeHeight="251661312" behindDoc="0" locked="0" layoutInCell="1" allowOverlap="1" wp14:anchorId="20643F32" wp14:editId="20643F33">
                <wp:simplePos x="0" y="0"/>
                <wp:positionH relativeFrom="column">
                  <wp:posOffset>861695</wp:posOffset>
                </wp:positionH>
                <wp:positionV relativeFrom="paragraph">
                  <wp:posOffset>-310515</wp:posOffset>
                </wp:positionV>
                <wp:extent cx="371475" cy="1524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71475" cy="1524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67.85pt;margin-top:-24.45pt;width:29.2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" filled="f" strokecolor="red" strokeweight=".25pt"/>
            </w:pict>
          </mc:Fallback>
        </mc:AlternateContent>
      </w:r>
    </w:p>
    <w:p w14:paraId="20643B13" w14:textId="77777777" w:rsidR="00333AC0" w:rsidRDefault="00333AC0" w:rsidP="00011A05">
      <w:pPr>
        <w:keepNext/>
        <w:widowControl/>
        <w:autoSpaceDE w:val="0"/>
        <w:autoSpaceDN w:val="0"/>
        <w:adjustRightInd w:val="0"/>
        <w:jc w:val="center"/>
      </w:pPr>
      <w:r>
        <w:rPr>
          <w:noProof/>
          <w:lang w:eastAsia="en-GB" w:bidi="ar-SA"/>
        </w:rPr>
        <w:drawing>
          <wp:inline distT="0" distB="0" distL="0" distR="0" wp14:anchorId="20643F34" wp14:editId="1CB49ED8">
            <wp:extent cx="3533775" cy="3295543"/>
            <wp:effectExtent l="0" t="0" r="0" b="635"/>
            <wp:docPr id="20" name="Picture 20" title="Figure 13: Deduced amino acid sequence of the microbially-produced CRTI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4217" cy="3295955"/>
                    </a:xfrm>
                    <a:prstGeom prst="rect">
                      <a:avLst/>
                    </a:prstGeom>
                    <a:noFill/>
                    <a:ln>
                      <a:noFill/>
                    </a:ln>
                  </pic:spPr>
                </pic:pic>
              </a:graphicData>
            </a:graphic>
          </wp:inline>
        </w:drawing>
      </w:r>
    </w:p>
    <w:p w14:paraId="20643B14" w14:textId="77777777" w:rsidR="00333AC0" w:rsidRPr="00E71B71" w:rsidRDefault="00333AC0" w:rsidP="00011A05">
      <w:pPr>
        <w:pStyle w:val="FSFigureTitle"/>
        <w:rPr>
          <w:rFonts w:ascii="CharterBT-Italic" w:hAnsi="CharterBT-Italic" w:cs="CharterBT-Italic"/>
          <w:iCs/>
          <w:szCs w:val="22"/>
          <w:lang w:eastAsia="en-GB" w:bidi="ar-SA"/>
        </w:rPr>
      </w:pPr>
      <w:r>
        <w:t xml:space="preserve">Figure </w:t>
      </w:r>
      <w:r>
        <w:fldChar w:fldCharType="begin"/>
      </w:r>
      <w:r>
        <w:instrText xml:space="preserve"> SEQ Figure \* ARABIC </w:instrText>
      </w:r>
      <w:r>
        <w:fldChar w:fldCharType="separate"/>
      </w:r>
      <w:r w:rsidR="00286242">
        <w:rPr>
          <w:noProof/>
        </w:rPr>
        <w:t>13</w:t>
      </w:r>
      <w:r>
        <w:rPr>
          <w:noProof/>
        </w:rPr>
        <w:fldChar w:fldCharType="end"/>
      </w:r>
      <w:r>
        <w:t>: Deduced amino acid sequence of the microbially-produced CRTI protein</w:t>
      </w:r>
    </w:p>
    <w:p w14:paraId="20643B15" w14:textId="77777777" w:rsidR="00333AC0" w:rsidRPr="00E71B71" w:rsidRDefault="00333AC0" w:rsidP="00011A05">
      <w:pPr>
        <w:widowControl/>
        <w:autoSpaceDE w:val="0"/>
        <w:autoSpaceDN w:val="0"/>
        <w:adjustRightInd w:val="0"/>
        <w:rPr>
          <w:rFonts w:cs="Arial"/>
          <w:sz w:val="20"/>
          <w:szCs w:val="20"/>
          <w:lang w:eastAsia="en-GB" w:bidi="ar-SA"/>
        </w:rPr>
      </w:pPr>
      <w:r>
        <w:rPr>
          <w:rFonts w:cs="Arial"/>
          <w:sz w:val="20"/>
          <w:szCs w:val="20"/>
          <w:lang w:eastAsia="en-GB" w:bidi="ar-SA"/>
        </w:rPr>
        <w:t>The C-terminal (</w:t>
      </w:r>
      <w:r w:rsidRPr="00E71B71">
        <w:rPr>
          <w:rFonts w:cs="Arial"/>
          <w:sz w:val="20"/>
          <w:szCs w:val="20"/>
          <w:lang w:eastAsia="en-GB" w:bidi="ar-SA"/>
        </w:rPr>
        <w:t>His</w:t>
      </w:r>
      <w:r>
        <w:rPr>
          <w:rFonts w:cs="Arial"/>
          <w:sz w:val="20"/>
          <w:szCs w:val="20"/>
          <w:lang w:eastAsia="en-GB" w:bidi="ar-SA"/>
        </w:rPr>
        <w:t>)</w:t>
      </w:r>
      <w:r>
        <w:rPr>
          <w:rFonts w:cs="Arial"/>
          <w:sz w:val="20"/>
          <w:szCs w:val="20"/>
          <w:vertAlign w:val="subscript"/>
          <w:lang w:eastAsia="en-GB" w:bidi="ar-SA"/>
        </w:rPr>
        <w:t>6</w:t>
      </w:r>
      <w:r w:rsidRPr="00E71B71">
        <w:rPr>
          <w:rFonts w:cs="Arial"/>
          <w:sz w:val="20"/>
          <w:szCs w:val="20"/>
          <w:lang w:eastAsia="en-GB" w:bidi="ar-SA"/>
        </w:rPr>
        <w:t xml:space="preserve">-tag </w:t>
      </w:r>
      <w:r>
        <w:rPr>
          <w:rFonts w:cs="Arial"/>
          <w:sz w:val="20"/>
          <w:szCs w:val="20"/>
          <w:lang w:eastAsia="en-GB" w:bidi="ar-SA"/>
        </w:rPr>
        <w:t xml:space="preserve">and linker </w:t>
      </w:r>
      <w:r w:rsidRPr="00E71B71">
        <w:rPr>
          <w:rFonts w:cs="Arial"/>
          <w:sz w:val="20"/>
          <w:szCs w:val="20"/>
          <w:lang w:eastAsia="en-GB" w:bidi="ar-SA"/>
        </w:rPr>
        <w:t>is</w:t>
      </w:r>
      <w:r>
        <w:rPr>
          <w:rFonts w:cs="Arial"/>
          <w:sz w:val="20"/>
          <w:szCs w:val="20"/>
          <w:lang w:eastAsia="en-GB" w:bidi="ar-SA"/>
        </w:rPr>
        <w:t xml:space="preserve"> underlined</w:t>
      </w:r>
      <w:r w:rsidRPr="00E71B71">
        <w:rPr>
          <w:rFonts w:cs="Arial"/>
          <w:sz w:val="20"/>
          <w:szCs w:val="20"/>
          <w:lang w:eastAsia="en-GB" w:bidi="ar-SA"/>
        </w:rPr>
        <w:t>.</w:t>
      </w:r>
    </w:p>
    <w:p w14:paraId="20643B16" w14:textId="77777777" w:rsidR="00333AC0" w:rsidRPr="00E71B71" w:rsidRDefault="00333AC0" w:rsidP="00011A05">
      <w:pPr>
        <w:widowControl/>
        <w:autoSpaceDE w:val="0"/>
        <w:autoSpaceDN w:val="0"/>
        <w:adjustRightInd w:val="0"/>
        <w:rPr>
          <w:rFonts w:cs="Arial"/>
          <w:szCs w:val="22"/>
          <w:lang w:eastAsia="en-GB" w:bidi="ar-SA"/>
        </w:rPr>
      </w:pPr>
    </w:p>
    <w:p w14:paraId="20643B17" w14:textId="77777777" w:rsidR="00333AC0" w:rsidRDefault="00333AC0" w:rsidP="00011A05">
      <w:pPr>
        <w:widowControl/>
        <w:autoSpaceDE w:val="0"/>
        <w:autoSpaceDN w:val="0"/>
        <w:adjustRightInd w:val="0"/>
        <w:rPr>
          <w:rFonts w:cs="Arial"/>
          <w:color w:val="000000"/>
          <w:szCs w:val="22"/>
          <w:lang w:eastAsia="en-GB" w:bidi="ar-SA"/>
        </w:rPr>
      </w:pPr>
      <w:r w:rsidRPr="00134626">
        <w:rPr>
          <w:rFonts w:cs="Arial"/>
          <w:color w:val="000000"/>
          <w:szCs w:val="22"/>
          <w:lang w:eastAsia="en-GB" w:bidi="ar-SA"/>
        </w:rPr>
        <w:t>The only analyses in which it was possible to directly confirm the equivalence of the microbially-produced proteins was through SDS-PAGE and western blot as</w:t>
      </w:r>
      <w:r>
        <w:rPr>
          <w:rFonts w:cs="Arial"/>
          <w:color w:val="000000"/>
          <w:szCs w:val="22"/>
          <w:lang w:eastAsia="en-GB" w:bidi="ar-SA"/>
        </w:rPr>
        <w:t xml:space="preserve"> described in </w:t>
      </w:r>
      <w:r w:rsidRPr="00B275D4">
        <w:rPr>
          <w:rFonts w:cs="Arial"/>
          <w:color w:val="000000"/>
          <w:szCs w:val="22"/>
          <w:lang w:eastAsia="en-GB" w:bidi="ar-SA"/>
        </w:rPr>
        <w:t>Section 4.1.3.1. It</w:t>
      </w:r>
      <w:r>
        <w:rPr>
          <w:rFonts w:cs="Arial"/>
          <w:color w:val="000000"/>
          <w:szCs w:val="22"/>
          <w:lang w:eastAsia="en-GB" w:bidi="ar-SA"/>
        </w:rPr>
        <w:t xml:space="preserve"> is noted in the western blots for all three proteins that the positive control (non-GM Kaybonnet spiked with the </w:t>
      </w:r>
      <w:r w:rsidRPr="003473C3">
        <w:rPr>
          <w:rFonts w:cs="Arial"/>
          <w:i/>
          <w:color w:val="000000"/>
          <w:szCs w:val="22"/>
          <w:lang w:eastAsia="en-GB" w:bidi="ar-SA"/>
        </w:rPr>
        <w:t>E. coli</w:t>
      </w:r>
      <w:r>
        <w:rPr>
          <w:rFonts w:cs="Arial"/>
          <w:color w:val="000000"/>
          <w:szCs w:val="22"/>
          <w:lang w:eastAsia="en-GB" w:bidi="ar-SA"/>
        </w:rPr>
        <w:t xml:space="preserve">-produced protein) appeared to have slightly greater mobility than the plant proteins (from all three grain stages). In the case of the ZmPSY1 protein, this is most likely because the microbial fusion protein has a slightly higher molecular weight than the plant protein. However, for all three </w:t>
      </w:r>
      <w:r w:rsidRPr="00ED6CE3">
        <w:rPr>
          <w:rFonts w:cs="Arial"/>
          <w:color w:val="000000"/>
          <w:szCs w:val="22"/>
          <w:lang w:eastAsia="en-GB" w:bidi="ar-SA"/>
        </w:rPr>
        <w:t xml:space="preserve">proteins, it is likely the mobility of the plant proteins was </w:t>
      </w:r>
      <w:r>
        <w:rPr>
          <w:rFonts w:cs="Arial"/>
          <w:color w:val="000000"/>
          <w:szCs w:val="22"/>
          <w:lang w:eastAsia="en-GB" w:bidi="ar-SA"/>
        </w:rPr>
        <w:t>slightly impeded</w:t>
      </w:r>
      <w:r w:rsidRPr="00ED6CE3">
        <w:rPr>
          <w:rFonts w:cs="Arial"/>
          <w:color w:val="000000"/>
          <w:szCs w:val="22"/>
          <w:lang w:eastAsia="en-GB" w:bidi="ar-SA"/>
        </w:rPr>
        <w:t xml:space="preserve"> by the sample matrix. </w:t>
      </w:r>
      <w:r>
        <w:rPr>
          <w:rFonts w:cs="Arial"/>
          <w:color w:val="000000"/>
          <w:szCs w:val="22"/>
          <w:lang w:eastAsia="en-GB" w:bidi="ar-SA"/>
        </w:rPr>
        <w:t>Nevertheless</w:t>
      </w:r>
      <w:r w:rsidRPr="00ED6CE3">
        <w:rPr>
          <w:rFonts w:cs="Arial"/>
          <w:color w:val="000000"/>
          <w:szCs w:val="22"/>
          <w:lang w:eastAsia="en-GB" w:bidi="ar-SA"/>
        </w:rPr>
        <w:t>, the apparent differences are within the margin of error of SDS-PAGE gels and, importantly, the proteins from plant and microbial sources are detected by the same specific antibodies thereby confirming their equivalence.</w:t>
      </w:r>
    </w:p>
    <w:p w14:paraId="20643B18" w14:textId="77777777" w:rsidR="00333AC0" w:rsidRPr="00E049D3" w:rsidRDefault="00333AC0" w:rsidP="00011A05">
      <w:pPr>
        <w:rPr>
          <w:rFonts w:cs="Arial"/>
          <w:color w:val="000000" w:themeColor="text1"/>
          <w:szCs w:val="22"/>
        </w:rPr>
      </w:pPr>
    </w:p>
    <w:p w14:paraId="20643B19" w14:textId="77777777" w:rsidR="00333AC0" w:rsidRPr="00E049D3" w:rsidRDefault="00333AC0" w:rsidP="00011A05">
      <w:pPr>
        <w:rPr>
          <w:rFonts w:cs="Arial"/>
          <w:color w:val="000000" w:themeColor="text1"/>
          <w:szCs w:val="22"/>
        </w:rPr>
      </w:pPr>
      <w:r w:rsidRPr="00E049D3">
        <w:rPr>
          <w:rFonts w:cs="Arial"/>
          <w:color w:val="000000" w:themeColor="text1"/>
          <w:szCs w:val="22"/>
        </w:rPr>
        <w:t xml:space="preserve">A number of techniques were </w:t>
      </w:r>
      <w:r>
        <w:rPr>
          <w:rFonts w:cs="Arial"/>
          <w:color w:val="000000" w:themeColor="text1"/>
          <w:szCs w:val="22"/>
        </w:rPr>
        <w:t>used to</w:t>
      </w:r>
      <w:r w:rsidRPr="00E049D3">
        <w:rPr>
          <w:rFonts w:cs="Arial"/>
          <w:color w:val="000000" w:themeColor="text1"/>
          <w:szCs w:val="22"/>
        </w:rPr>
        <w:t xml:space="preserve"> analys</w:t>
      </w:r>
      <w:r>
        <w:rPr>
          <w:rFonts w:cs="Arial"/>
          <w:color w:val="000000" w:themeColor="text1"/>
          <w:szCs w:val="22"/>
        </w:rPr>
        <w:t>e</w:t>
      </w:r>
      <w:r w:rsidRPr="00E049D3">
        <w:rPr>
          <w:rFonts w:cs="Arial"/>
          <w:color w:val="000000" w:themeColor="text1"/>
          <w:szCs w:val="22"/>
        </w:rPr>
        <w:t xml:space="preserve"> the microbially-produced proteins; </w:t>
      </w:r>
      <w:r>
        <w:rPr>
          <w:rFonts w:cs="Arial"/>
          <w:color w:val="000000" w:themeColor="text1"/>
          <w:szCs w:val="22"/>
        </w:rPr>
        <w:t xml:space="preserve">for </w:t>
      </w:r>
      <w:r w:rsidRPr="00E049D3">
        <w:rPr>
          <w:rFonts w:cs="Arial"/>
          <w:color w:val="000000" w:themeColor="text1"/>
          <w:szCs w:val="22"/>
        </w:rPr>
        <w:t>CRTI two separate lot numbers were analysed:</w:t>
      </w:r>
    </w:p>
    <w:p w14:paraId="20643B1A" w14:textId="77777777" w:rsidR="00333AC0" w:rsidRPr="00A37CCB" w:rsidRDefault="00333AC0" w:rsidP="00011A05">
      <w:pPr>
        <w:rPr>
          <w:color w:val="000000" w:themeColor="text1"/>
        </w:rPr>
      </w:pPr>
    </w:p>
    <w:p w14:paraId="20643B1B" w14:textId="77777777" w:rsidR="00333AC0" w:rsidRDefault="00333AC0" w:rsidP="0022311E">
      <w:pPr>
        <w:pStyle w:val="ListParagraph"/>
        <w:numPr>
          <w:ilvl w:val="0"/>
          <w:numId w:val="14"/>
        </w:numPr>
        <w:ind w:left="567" w:hanging="567"/>
        <w:rPr>
          <w:color w:val="000000" w:themeColor="text1"/>
        </w:rPr>
      </w:pPr>
      <w:r w:rsidRPr="006C63D7">
        <w:rPr>
          <w:color w:val="000000" w:themeColor="text1"/>
          <w:u w:val="single"/>
        </w:rPr>
        <w:t>SDS-PAGE and western blot analysis</w:t>
      </w:r>
      <w:r w:rsidRPr="00A37CCB">
        <w:rPr>
          <w:color w:val="000000" w:themeColor="text1"/>
        </w:rPr>
        <w:t xml:space="preserve">. </w:t>
      </w:r>
    </w:p>
    <w:p w14:paraId="20643B1C" w14:textId="77777777" w:rsidR="00333AC0" w:rsidRPr="00A37CCB" w:rsidRDefault="00333AC0" w:rsidP="00011A05">
      <w:pPr>
        <w:pStyle w:val="ListParagraph"/>
        <w:ind w:left="567"/>
        <w:rPr>
          <w:color w:val="000000" w:themeColor="text1"/>
        </w:rPr>
      </w:pPr>
      <w:r w:rsidRPr="00A37CCB">
        <w:rPr>
          <w:color w:val="000000" w:themeColor="text1"/>
        </w:rPr>
        <w:t>Samples of each purified protein were analysed by SDS-PAGE followed by staining with SYPRO Orange</w:t>
      </w:r>
      <w:r w:rsidRPr="00A37CCB">
        <w:rPr>
          <w:rStyle w:val="FootnoteReference"/>
          <w:color w:val="000000" w:themeColor="text1"/>
        </w:rPr>
        <w:footnoteReference w:id="12"/>
      </w:r>
      <w:r w:rsidRPr="00A37CCB">
        <w:rPr>
          <w:color w:val="000000" w:themeColor="text1"/>
        </w:rPr>
        <w:t>. Since both proteins contain a (His)</w:t>
      </w:r>
      <w:r w:rsidRPr="00890672">
        <w:rPr>
          <w:color w:val="000000" w:themeColor="text1"/>
          <w:vertAlign w:val="subscript"/>
        </w:rPr>
        <w:t>6</w:t>
      </w:r>
      <w:r w:rsidRPr="00A37CCB">
        <w:rPr>
          <w:color w:val="000000" w:themeColor="text1"/>
        </w:rPr>
        <w:t xml:space="preserve"> tag, western immunoblot analysis utilised a rabbit anti(His)</w:t>
      </w:r>
      <w:r w:rsidRPr="00A37CCB">
        <w:rPr>
          <w:color w:val="000000" w:themeColor="text1"/>
          <w:vertAlign w:val="subscript"/>
        </w:rPr>
        <w:t>6</w:t>
      </w:r>
      <w:r w:rsidRPr="00A37CCB">
        <w:rPr>
          <w:color w:val="000000" w:themeColor="text1"/>
        </w:rPr>
        <w:t xml:space="preserve"> primary antibody followed by HRP-conjugated goat anti-rabbit secondary antibody</w:t>
      </w:r>
      <w:r>
        <w:rPr>
          <w:color w:val="000000" w:themeColor="text1"/>
        </w:rPr>
        <w:t>.</w:t>
      </w:r>
    </w:p>
    <w:p w14:paraId="20643B1D" w14:textId="77777777" w:rsidR="00333AC0" w:rsidRPr="003C3A66" w:rsidRDefault="00333AC0" w:rsidP="0022311E">
      <w:pPr>
        <w:pStyle w:val="ListParagraph"/>
        <w:numPr>
          <w:ilvl w:val="0"/>
          <w:numId w:val="14"/>
        </w:numPr>
        <w:ind w:left="567" w:hanging="567"/>
        <w:rPr>
          <w:color w:val="000000" w:themeColor="text1"/>
        </w:rPr>
      </w:pPr>
      <w:r w:rsidRPr="006C63D7">
        <w:rPr>
          <w:color w:val="000000" w:themeColor="text1"/>
          <w:u w:val="single"/>
        </w:rPr>
        <w:t xml:space="preserve">Reverse phase high performance liquid chromatography </w:t>
      </w:r>
      <w:r w:rsidRPr="003C3A66">
        <w:rPr>
          <w:color w:val="000000" w:themeColor="text1"/>
          <w:u w:val="single"/>
        </w:rPr>
        <w:t>(HPLC) analysis</w:t>
      </w:r>
      <w:r w:rsidRPr="003C3A66">
        <w:rPr>
          <w:color w:val="000000" w:themeColor="text1"/>
        </w:rPr>
        <w:t xml:space="preserve">. </w:t>
      </w:r>
    </w:p>
    <w:p w14:paraId="20643B1E" w14:textId="77777777" w:rsidR="00333AC0" w:rsidRPr="003C3A66" w:rsidRDefault="00333AC0" w:rsidP="00011A05">
      <w:pPr>
        <w:pStyle w:val="ListParagraph"/>
        <w:ind w:left="567"/>
        <w:rPr>
          <w:color w:val="000000" w:themeColor="text1"/>
        </w:rPr>
      </w:pPr>
      <w:r w:rsidRPr="003C3A66">
        <w:rPr>
          <w:color w:val="000000" w:themeColor="text1"/>
        </w:rPr>
        <w:t xml:space="preserve">This was used to confirm the purity of the </w:t>
      </w:r>
      <w:r w:rsidRPr="003C3A66">
        <w:rPr>
          <w:i/>
          <w:color w:val="000000" w:themeColor="text1"/>
        </w:rPr>
        <w:t>E. coli</w:t>
      </w:r>
      <w:r w:rsidRPr="003C3A66">
        <w:rPr>
          <w:color w:val="000000" w:themeColor="text1"/>
        </w:rPr>
        <w:t xml:space="preserve">-derived </w:t>
      </w:r>
      <w:r w:rsidRPr="003C3A66">
        <w:rPr>
          <w:i/>
          <w:color w:val="000000" w:themeColor="text1"/>
        </w:rPr>
        <w:t>Zm</w:t>
      </w:r>
      <w:r w:rsidRPr="003C3A66">
        <w:rPr>
          <w:color w:val="000000" w:themeColor="text1"/>
        </w:rPr>
        <w:t>PSY1 and CRTI. The proteins were analysed on a Zorbax 300SB-C3 column, eluted and monitored at 214</w:t>
      </w:r>
      <w:r>
        <w:rPr>
          <w:color w:val="000000" w:themeColor="text1"/>
        </w:rPr>
        <w:t> </w:t>
      </w:r>
      <w:r w:rsidRPr="003C3A66">
        <w:rPr>
          <w:color w:val="000000" w:themeColor="text1"/>
        </w:rPr>
        <w:t>nm.</w:t>
      </w:r>
    </w:p>
    <w:p w14:paraId="20643B1F" w14:textId="77777777" w:rsidR="00333AC0" w:rsidRPr="003C3A66" w:rsidRDefault="00333AC0" w:rsidP="0022311E">
      <w:pPr>
        <w:pStyle w:val="ListParagraph"/>
        <w:numPr>
          <w:ilvl w:val="0"/>
          <w:numId w:val="14"/>
        </w:numPr>
        <w:ind w:left="567" w:hanging="567"/>
      </w:pPr>
      <w:r w:rsidRPr="003C3A66">
        <w:rPr>
          <w:color w:val="000000" w:themeColor="text1"/>
          <w:u w:val="single"/>
        </w:rPr>
        <w:t>Relative amino acid analysis</w:t>
      </w:r>
      <w:r w:rsidRPr="003C3A66">
        <w:rPr>
          <w:color w:val="000000" w:themeColor="text1"/>
        </w:rPr>
        <w:t xml:space="preserve">. </w:t>
      </w:r>
    </w:p>
    <w:p w14:paraId="20643B20" w14:textId="77777777" w:rsidR="00333AC0" w:rsidRPr="003C3A66" w:rsidRDefault="00333AC0" w:rsidP="00011A05">
      <w:pPr>
        <w:pStyle w:val="ListParagraph"/>
        <w:ind w:left="567"/>
      </w:pPr>
      <w:r>
        <w:rPr>
          <w:color w:val="000000" w:themeColor="text1"/>
        </w:rPr>
        <w:t>Following hydrolysis, e</w:t>
      </w:r>
      <w:r w:rsidRPr="003C3A66">
        <w:rPr>
          <w:color w:val="000000" w:themeColor="text1"/>
        </w:rPr>
        <w:t xml:space="preserve">ach protein was analysed by ion exchange chromatography for the relative presence (percentage of total amino acids) of the 20 most common amino acids (excluding tryptophan and cysteine that are not </w:t>
      </w:r>
      <w:r w:rsidRPr="003C3A66">
        <w:t>amenable to analysis under the conditions). The measured values were then compared to the predicted values based on the theoretical amino acid content of each protein.</w:t>
      </w:r>
    </w:p>
    <w:p w14:paraId="20643B21" w14:textId="77777777" w:rsidR="00333AC0" w:rsidRPr="003C3A66" w:rsidRDefault="00333AC0" w:rsidP="0022311E">
      <w:pPr>
        <w:pStyle w:val="ListParagraph"/>
        <w:numPr>
          <w:ilvl w:val="0"/>
          <w:numId w:val="14"/>
        </w:numPr>
        <w:ind w:left="567" w:hanging="567"/>
      </w:pPr>
      <w:r w:rsidRPr="003C3A66">
        <w:rPr>
          <w:u w:val="single"/>
        </w:rPr>
        <w:t>Matrix-assisted laser desorption/ionisation time of flight tandem mass spectrometry</w:t>
      </w:r>
      <w:r w:rsidRPr="003C3A66">
        <w:t xml:space="preserve"> </w:t>
      </w:r>
      <w:r w:rsidRPr="009A7C6A">
        <w:rPr>
          <w:u w:val="single"/>
        </w:rPr>
        <w:t>(MALDI-TOF MS/MS) mapping</w:t>
      </w:r>
      <w:r w:rsidRPr="003C3A66">
        <w:t xml:space="preserve">. </w:t>
      </w:r>
    </w:p>
    <w:p w14:paraId="20643B22" w14:textId="77777777" w:rsidR="00333AC0" w:rsidRPr="00F465A1" w:rsidRDefault="00333AC0" w:rsidP="00011A05">
      <w:pPr>
        <w:pStyle w:val="ListParagraph"/>
        <w:ind w:left="567"/>
      </w:pPr>
      <w:r w:rsidRPr="00AE03C8">
        <w:rPr>
          <w:rFonts w:cs="Arial"/>
          <w:szCs w:val="22"/>
        </w:rPr>
        <w:t xml:space="preserve">For ZmPSY1 and CRTI, </w:t>
      </w:r>
      <w:r>
        <w:rPr>
          <w:rFonts w:cs="Arial"/>
          <w:szCs w:val="22"/>
        </w:rPr>
        <w:t>both</w:t>
      </w:r>
      <w:r w:rsidRPr="00AE03C8">
        <w:rPr>
          <w:rFonts w:cs="Arial"/>
          <w:szCs w:val="22"/>
        </w:rPr>
        <w:t xml:space="preserve"> the carbamidomethylated and trypsin-digested proteins</w:t>
      </w:r>
      <w:r>
        <w:rPr>
          <w:rFonts w:cs="Arial"/>
          <w:szCs w:val="22"/>
        </w:rPr>
        <w:t xml:space="preserve"> were analysed</w:t>
      </w:r>
      <w:r w:rsidRPr="00AE03C8">
        <w:rPr>
          <w:rFonts w:cs="Arial"/>
          <w:szCs w:val="22"/>
        </w:rPr>
        <w:t xml:space="preserve">. The resulting peptides were applied to an anchorchip target for analysis by MALDI-TOF. Mass spectrometry was then performed on a number of peptides for fragmentation analysis and the spectra were used for database </w:t>
      </w:r>
      <w:r w:rsidRPr="00C41A89">
        <w:rPr>
          <w:rFonts w:cs="Arial"/>
          <w:szCs w:val="22"/>
        </w:rPr>
        <w:t>searching (</w:t>
      </w:r>
      <w:hyperlink r:id="rId38" w:history="1">
        <w:r w:rsidRPr="00C41A89">
          <w:rPr>
            <w:rStyle w:val="Hyperlink"/>
            <w:rFonts w:cs="Arial"/>
            <w:szCs w:val="22"/>
          </w:rPr>
          <w:t>UniProt</w:t>
        </w:r>
      </w:hyperlink>
      <w:r w:rsidRPr="00C41A89">
        <w:rPr>
          <w:rStyle w:val="FootnoteReference"/>
          <w:rFonts w:cs="Arial"/>
          <w:szCs w:val="22"/>
        </w:rPr>
        <w:footnoteReference w:id="13"/>
      </w:r>
      <w:r w:rsidRPr="00C41A89">
        <w:rPr>
          <w:rFonts w:cs="Arial"/>
          <w:szCs w:val="22"/>
        </w:rPr>
        <w:t xml:space="preserve"> and </w:t>
      </w:r>
      <w:hyperlink r:id="rId39" w:history="1">
        <w:r w:rsidRPr="00C41A89">
          <w:rPr>
            <w:rStyle w:val="Hyperlink"/>
            <w:rFonts w:cs="Arial"/>
            <w:szCs w:val="22"/>
          </w:rPr>
          <w:t>National Center for Biotechnology Information</w:t>
        </w:r>
      </w:hyperlink>
      <w:r w:rsidRPr="00C41A89">
        <w:rPr>
          <w:rStyle w:val="FootnoteReference"/>
          <w:rFonts w:cs="Arial"/>
          <w:szCs w:val="22"/>
        </w:rPr>
        <w:footnoteReference w:id="14"/>
      </w:r>
      <w:r w:rsidRPr="00C41A89">
        <w:rPr>
          <w:rFonts w:cs="Arial"/>
          <w:szCs w:val="22"/>
        </w:rPr>
        <w:t xml:space="preserve"> - NCBI) against the predi</w:t>
      </w:r>
      <w:r>
        <w:rPr>
          <w:rFonts w:cs="Arial"/>
          <w:szCs w:val="22"/>
        </w:rPr>
        <w:t xml:space="preserve">cted sequences for each protein using </w:t>
      </w:r>
      <w:hyperlink r:id="rId40" w:history="1">
        <w:r w:rsidRPr="008128CF">
          <w:rPr>
            <w:rStyle w:val="Hyperlink"/>
            <w:rFonts w:cs="Arial"/>
            <w:szCs w:val="22"/>
          </w:rPr>
          <w:t>Mascot</w:t>
        </w:r>
      </w:hyperlink>
      <w:r>
        <w:rPr>
          <w:rStyle w:val="FootnoteReference"/>
          <w:rFonts w:cs="Arial"/>
          <w:szCs w:val="22"/>
        </w:rPr>
        <w:footnoteReference w:id="15"/>
      </w:r>
      <w:r>
        <w:rPr>
          <w:rFonts w:cs="Arial"/>
          <w:szCs w:val="22"/>
        </w:rPr>
        <w:t xml:space="preserve"> software.</w:t>
      </w:r>
    </w:p>
    <w:p w14:paraId="20643B23" w14:textId="77777777" w:rsidR="00333AC0" w:rsidRPr="00185B8F" w:rsidRDefault="00333AC0" w:rsidP="0022311E">
      <w:pPr>
        <w:pStyle w:val="ListParagraph"/>
        <w:numPr>
          <w:ilvl w:val="0"/>
          <w:numId w:val="14"/>
        </w:numPr>
        <w:ind w:left="567" w:hanging="567"/>
      </w:pPr>
      <w:r w:rsidRPr="00F465A1">
        <w:rPr>
          <w:color w:val="000000" w:themeColor="text1"/>
          <w:u w:val="single"/>
        </w:rPr>
        <w:t>N-terminal amino acid sequencing</w:t>
      </w:r>
      <w:r w:rsidRPr="00F465A1">
        <w:rPr>
          <w:color w:val="000000" w:themeColor="text1"/>
        </w:rPr>
        <w:t xml:space="preserve">. </w:t>
      </w:r>
    </w:p>
    <w:p w14:paraId="20643B24" w14:textId="77777777" w:rsidR="00333AC0" w:rsidRDefault="00333AC0" w:rsidP="00011A05">
      <w:pPr>
        <w:pStyle w:val="ListParagraph"/>
        <w:ind w:left="567"/>
        <w:rPr>
          <w:rFonts w:ascii="CharterBT-Roman" w:hAnsi="CharterBT-Roman" w:cs="CharterBT-Roman"/>
          <w:szCs w:val="22"/>
          <w:lang w:eastAsia="en-GB" w:bidi="ar-SA"/>
        </w:rPr>
      </w:pPr>
      <w:r w:rsidRPr="00F465A1">
        <w:rPr>
          <w:rFonts w:ascii="CharterBT-Roman" w:hAnsi="CharterBT-Roman" w:cs="CharterBT-Roman"/>
          <w:szCs w:val="22"/>
          <w:lang w:eastAsia="en-GB" w:bidi="ar-SA"/>
        </w:rPr>
        <w:t>Samples of the two purified proteins were immobili</w:t>
      </w:r>
      <w:r>
        <w:rPr>
          <w:rFonts w:ascii="CharterBT-Roman" w:hAnsi="CharterBT-Roman" w:cs="CharterBT-Roman"/>
          <w:szCs w:val="22"/>
          <w:lang w:eastAsia="en-GB" w:bidi="ar-SA"/>
        </w:rPr>
        <w:t>s</w:t>
      </w:r>
      <w:r w:rsidRPr="00F465A1">
        <w:rPr>
          <w:rFonts w:ascii="CharterBT-Roman" w:hAnsi="CharterBT-Roman" w:cs="CharterBT-Roman"/>
          <w:szCs w:val="22"/>
          <w:lang w:eastAsia="en-GB" w:bidi="ar-SA"/>
        </w:rPr>
        <w:t xml:space="preserve">ed on </w:t>
      </w:r>
      <w:r w:rsidRPr="00F465A1">
        <w:rPr>
          <w:rStyle w:val="st1"/>
          <w:rFonts w:cs="Arial"/>
          <w:lang w:val="en-AU"/>
        </w:rPr>
        <w:t xml:space="preserve">polyvinylidene fluoride </w:t>
      </w:r>
      <w:r w:rsidRPr="003C3A66">
        <w:rPr>
          <w:rStyle w:val="st1"/>
          <w:rFonts w:cs="Arial"/>
          <w:lang w:val="en-AU"/>
        </w:rPr>
        <w:t>(</w:t>
      </w:r>
      <w:r w:rsidRPr="003C3A66">
        <w:rPr>
          <w:rFonts w:ascii="CharterBT-Roman" w:hAnsi="CharterBT-Roman" w:cs="CharterBT-Roman"/>
          <w:szCs w:val="22"/>
          <w:lang w:eastAsia="en-GB" w:bidi="ar-SA"/>
        </w:rPr>
        <w:t>PVDF) membranes</w:t>
      </w:r>
      <w:r w:rsidRPr="00F465A1">
        <w:rPr>
          <w:rFonts w:ascii="CharterBT-Roman" w:hAnsi="CharterBT-Roman" w:cs="CharterBT-Roman"/>
          <w:szCs w:val="22"/>
          <w:lang w:eastAsia="en-GB" w:bidi="ar-SA"/>
        </w:rPr>
        <w:t xml:space="preserve"> and subjected to N-terminal amino acid sequencing by Edman degradation chemistry (amino acid residues are cleaved off one at a time and identified by </w:t>
      </w:r>
      <w:r>
        <w:rPr>
          <w:rFonts w:ascii="CharterBT-Roman" w:hAnsi="CharterBT-Roman" w:cs="CharterBT-Roman"/>
          <w:szCs w:val="22"/>
          <w:lang w:eastAsia="en-GB" w:bidi="ar-SA"/>
        </w:rPr>
        <w:t xml:space="preserve">high performance liquid </w:t>
      </w:r>
      <w:r w:rsidRPr="00F465A1">
        <w:rPr>
          <w:rFonts w:ascii="CharterBT-Roman" w:hAnsi="CharterBT-Roman" w:cs="CharterBT-Roman"/>
          <w:szCs w:val="22"/>
          <w:lang w:eastAsia="en-GB" w:bidi="ar-SA"/>
        </w:rPr>
        <w:t>chromatography</w:t>
      </w:r>
      <w:r>
        <w:rPr>
          <w:rFonts w:ascii="CharterBT-Roman" w:hAnsi="CharterBT-Roman" w:cs="CharterBT-Roman"/>
          <w:szCs w:val="22"/>
          <w:lang w:eastAsia="en-GB" w:bidi="ar-SA"/>
        </w:rPr>
        <w:t xml:space="preserve"> - HPLC</w:t>
      </w:r>
      <w:r w:rsidRPr="00F465A1">
        <w:rPr>
          <w:rFonts w:ascii="CharterBT-Roman" w:hAnsi="CharterBT-Roman" w:cs="CharterBT-Roman"/>
          <w:szCs w:val="22"/>
          <w:lang w:eastAsia="en-GB" w:bidi="ar-SA"/>
        </w:rPr>
        <w:t>).</w:t>
      </w:r>
    </w:p>
    <w:p w14:paraId="20643B25" w14:textId="77777777" w:rsidR="00333AC0" w:rsidRDefault="00333AC0" w:rsidP="0022311E">
      <w:pPr>
        <w:pStyle w:val="ListParagraph"/>
        <w:numPr>
          <w:ilvl w:val="0"/>
          <w:numId w:val="14"/>
        </w:numPr>
        <w:ind w:left="567" w:hanging="567"/>
        <w:rPr>
          <w:color w:val="000000" w:themeColor="text1"/>
        </w:rPr>
      </w:pPr>
      <w:r w:rsidRPr="00F465A1">
        <w:rPr>
          <w:color w:val="000000" w:themeColor="text1"/>
          <w:u w:val="single"/>
        </w:rPr>
        <w:t>Enzymatic activity</w:t>
      </w:r>
      <w:r>
        <w:rPr>
          <w:color w:val="000000" w:themeColor="text1"/>
        </w:rPr>
        <w:t xml:space="preserve">. </w:t>
      </w:r>
    </w:p>
    <w:p w14:paraId="20643B26" w14:textId="77777777" w:rsidR="00333AC0" w:rsidRDefault="00333AC0" w:rsidP="00011A05">
      <w:pPr>
        <w:pStyle w:val="ListParagraph"/>
        <w:ind w:left="567"/>
        <w:rPr>
          <w:color w:val="000000" w:themeColor="text1"/>
        </w:rPr>
      </w:pPr>
      <w:r>
        <w:rPr>
          <w:color w:val="000000" w:themeColor="text1"/>
        </w:rPr>
        <w:t>Measurement of t</w:t>
      </w:r>
      <w:r w:rsidRPr="00185B8F">
        <w:rPr>
          <w:color w:val="000000" w:themeColor="text1"/>
        </w:rPr>
        <w:t xml:space="preserve">he activity of </w:t>
      </w:r>
      <w:r w:rsidRPr="00185B8F">
        <w:rPr>
          <w:i/>
          <w:color w:val="000000" w:themeColor="text1"/>
        </w:rPr>
        <w:t>Zm</w:t>
      </w:r>
      <w:r w:rsidRPr="00185B8F">
        <w:rPr>
          <w:color w:val="000000" w:themeColor="text1"/>
        </w:rPr>
        <w:t>PSY1</w:t>
      </w:r>
      <w:r>
        <w:rPr>
          <w:color w:val="000000" w:themeColor="text1"/>
        </w:rPr>
        <w:t xml:space="preserve"> was based on the ability of the enzyme to catalyse (at 20</w:t>
      </w:r>
      <w:r>
        <w:rPr>
          <w:color w:val="000000" w:themeColor="text1"/>
          <w:vertAlign w:val="superscript"/>
        </w:rPr>
        <w:t>o</w:t>
      </w:r>
      <w:r>
        <w:rPr>
          <w:color w:val="000000" w:themeColor="text1"/>
        </w:rPr>
        <w:t xml:space="preserve"> C for 30 min) the formation of 15-</w:t>
      </w:r>
      <w:r w:rsidRPr="00185B8F">
        <w:rPr>
          <w:i/>
          <w:color w:val="000000" w:themeColor="text1"/>
        </w:rPr>
        <w:t>cis</w:t>
      </w:r>
      <w:r>
        <w:rPr>
          <w:color w:val="000000" w:themeColor="text1"/>
        </w:rPr>
        <w:t xml:space="preserve">-phytoene (phytoene) from GGPP in an appropriate reaction mixture containing the GGPP precursors </w:t>
      </w:r>
      <w:r w:rsidRPr="003C3A66">
        <w:rPr>
          <w:color w:val="000000" w:themeColor="text1"/>
        </w:rPr>
        <w:t>- DMAPP and IPP - and the</w:t>
      </w:r>
      <w:r>
        <w:rPr>
          <w:color w:val="000000" w:themeColor="text1"/>
        </w:rPr>
        <w:t xml:space="preserve"> enzyme necessary to drive the formation of GGPP from these precursors - GGPP synthase (purified from </w:t>
      </w:r>
      <w:r w:rsidRPr="0001479A">
        <w:rPr>
          <w:i/>
          <w:color w:val="000000" w:themeColor="text1"/>
        </w:rPr>
        <w:t>Arabidopsis thaliana</w:t>
      </w:r>
      <w:r w:rsidRPr="00B275D4">
        <w:rPr>
          <w:color w:val="000000" w:themeColor="text1"/>
        </w:rPr>
        <w:t>) (Figure 14). The</w:t>
      </w:r>
      <w:r>
        <w:rPr>
          <w:color w:val="000000" w:themeColor="text1"/>
        </w:rPr>
        <w:t xml:space="preserve"> phytoene was analysed following chloroform extraction, elution and detection using HPLC and a photodiodearray detector (287 nm). </w:t>
      </w:r>
    </w:p>
    <w:p w14:paraId="20643B27" w14:textId="77777777" w:rsidR="00333AC0" w:rsidRDefault="00333AC0" w:rsidP="00011A05">
      <w:pPr>
        <w:pStyle w:val="ListParagraph"/>
        <w:ind w:left="567"/>
        <w:rPr>
          <w:color w:val="000000" w:themeColor="text1"/>
        </w:rPr>
      </w:pPr>
    </w:p>
    <w:p w14:paraId="20643B28" w14:textId="77777777" w:rsidR="00333AC0" w:rsidRPr="00185B8F" w:rsidRDefault="00333AC0" w:rsidP="00011A05">
      <w:pPr>
        <w:pStyle w:val="ListParagraph"/>
        <w:ind w:left="567"/>
        <w:rPr>
          <w:color w:val="000000" w:themeColor="text1"/>
        </w:rPr>
      </w:pPr>
      <w:r>
        <w:rPr>
          <w:color w:val="000000" w:themeColor="text1"/>
        </w:rPr>
        <w:t>The activity of CRTI was measured by mixing the enzyme with a preparation of phytoene-containing liposomes and spectrophotometrically measuring the production of all-</w:t>
      </w:r>
      <w:r w:rsidRPr="008800A9">
        <w:rPr>
          <w:i/>
          <w:color w:val="000000" w:themeColor="text1"/>
        </w:rPr>
        <w:t>trans</w:t>
      </w:r>
      <w:r>
        <w:rPr>
          <w:color w:val="000000" w:themeColor="text1"/>
        </w:rPr>
        <w:t xml:space="preserve">-lycopene (refer </w:t>
      </w:r>
      <w:r w:rsidRPr="00B275D4">
        <w:rPr>
          <w:color w:val="000000" w:themeColor="text1"/>
        </w:rPr>
        <w:t>to Figure 7) after</w:t>
      </w:r>
      <w:r>
        <w:rPr>
          <w:color w:val="000000" w:themeColor="text1"/>
        </w:rPr>
        <w:t xml:space="preserve"> 30 min at 37</w:t>
      </w:r>
      <w:r>
        <w:rPr>
          <w:color w:val="000000" w:themeColor="text1"/>
          <w:vertAlign w:val="superscript"/>
        </w:rPr>
        <w:t>o</w:t>
      </w:r>
      <w:r>
        <w:rPr>
          <w:color w:val="000000" w:themeColor="text1"/>
        </w:rPr>
        <w:t xml:space="preserve"> C.</w:t>
      </w:r>
    </w:p>
    <w:p w14:paraId="20643B29" w14:textId="77777777" w:rsidR="00333AC0" w:rsidRDefault="00333AC0" w:rsidP="00011A05">
      <w:pPr>
        <w:pStyle w:val="ListParagraph"/>
        <w:ind w:left="567"/>
        <w:rPr>
          <w:color w:val="000000" w:themeColor="text1"/>
        </w:rPr>
      </w:pPr>
    </w:p>
    <w:p w14:paraId="20643B2A" w14:textId="77777777" w:rsidR="00333AC0" w:rsidRDefault="00333AC0" w:rsidP="00011A05">
      <w:pPr>
        <w:pStyle w:val="ListParagraph"/>
        <w:keepNext/>
        <w:ind w:left="567"/>
        <w:jc w:val="center"/>
      </w:pPr>
      <w:r>
        <w:rPr>
          <w:noProof/>
          <w:color w:val="000000" w:themeColor="text1"/>
          <w:lang w:eastAsia="en-GB" w:bidi="ar-SA"/>
        </w:rPr>
        <w:drawing>
          <wp:inline distT="0" distB="0" distL="0" distR="0" wp14:anchorId="20643F36" wp14:editId="249BB15B">
            <wp:extent cx="3726118" cy="3448050"/>
            <wp:effectExtent l="0" t="0" r="8255" b="0"/>
            <wp:docPr id="4" name="Picture 4" title="Figure 14: The phytoene biosynthetic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6118" cy="3448050"/>
                    </a:xfrm>
                    <a:prstGeom prst="rect">
                      <a:avLst/>
                    </a:prstGeom>
                    <a:noFill/>
                    <a:ln>
                      <a:noFill/>
                    </a:ln>
                  </pic:spPr>
                </pic:pic>
              </a:graphicData>
            </a:graphic>
          </wp:inline>
        </w:drawing>
      </w:r>
    </w:p>
    <w:p w14:paraId="20643B2B" w14:textId="77777777" w:rsidR="00333AC0" w:rsidRDefault="00333AC0" w:rsidP="00011A05">
      <w:pPr>
        <w:pStyle w:val="FSFigureTitle"/>
      </w:pPr>
      <w:bookmarkStart w:id="50" w:name="_Toc470008750"/>
      <w:r>
        <w:t xml:space="preserve">Figure </w:t>
      </w:r>
      <w:r>
        <w:fldChar w:fldCharType="begin"/>
      </w:r>
      <w:r>
        <w:instrText xml:space="preserve"> SEQ Figure \* ARABIC </w:instrText>
      </w:r>
      <w:r>
        <w:fldChar w:fldCharType="separate"/>
      </w:r>
      <w:r w:rsidR="00286242">
        <w:rPr>
          <w:noProof/>
        </w:rPr>
        <w:t>14</w:t>
      </w:r>
      <w:r>
        <w:rPr>
          <w:noProof/>
        </w:rPr>
        <w:fldChar w:fldCharType="end"/>
      </w:r>
      <w:r>
        <w:t>: The phytoene biosynthetic pathway</w:t>
      </w:r>
      <w:bookmarkEnd w:id="50"/>
    </w:p>
    <w:p w14:paraId="20643B2C" w14:textId="77777777" w:rsidR="00333AC0" w:rsidRPr="004F4BFB" w:rsidRDefault="00333AC0" w:rsidP="00011A05">
      <w:pPr>
        <w:rPr>
          <w:sz w:val="20"/>
          <w:szCs w:val="20"/>
        </w:rPr>
      </w:pPr>
      <w:r>
        <w:rPr>
          <w:sz w:val="20"/>
          <w:szCs w:val="20"/>
        </w:rPr>
        <w:t xml:space="preserve">Products circled in red are those added to the reaction mixture used for measuring the enzymatic activity of </w:t>
      </w:r>
      <w:r w:rsidRPr="00DE092C">
        <w:rPr>
          <w:i/>
          <w:sz w:val="20"/>
          <w:szCs w:val="20"/>
        </w:rPr>
        <w:t>Zm</w:t>
      </w:r>
      <w:r>
        <w:rPr>
          <w:sz w:val="20"/>
          <w:szCs w:val="20"/>
        </w:rPr>
        <w:t>PSY1</w:t>
      </w:r>
    </w:p>
    <w:p w14:paraId="20643B2D" w14:textId="77777777" w:rsidR="00333AC0" w:rsidRPr="00A37CCB" w:rsidRDefault="00333AC0" w:rsidP="00011A05">
      <w:pPr>
        <w:rPr>
          <w:i/>
          <w:color w:val="000000" w:themeColor="text1"/>
        </w:rPr>
      </w:pPr>
    </w:p>
    <w:p w14:paraId="20643B2E" w14:textId="77777777" w:rsidR="00333AC0" w:rsidRPr="00A37CCB" w:rsidRDefault="00333AC0" w:rsidP="00011A05">
      <w:pPr>
        <w:rPr>
          <w:i/>
          <w:color w:val="000000" w:themeColor="text1"/>
        </w:rPr>
      </w:pPr>
      <w:r w:rsidRPr="00A37CCB">
        <w:rPr>
          <w:i/>
          <w:color w:val="000000" w:themeColor="text1"/>
        </w:rPr>
        <w:t xml:space="preserve">SDS-PAGE and western blot </w:t>
      </w:r>
    </w:p>
    <w:p w14:paraId="20643B2F" w14:textId="77777777" w:rsidR="00333AC0" w:rsidRPr="00A37CCB" w:rsidRDefault="00333AC0" w:rsidP="00011A05">
      <w:pPr>
        <w:rPr>
          <w:i/>
          <w:color w:val="000000" w:themeColor="text1"/>
        </w:rPr>
      </w:pPr>
    </w:p>
    <w:p w14:paraId="20643B30"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sidRPr="00A37CCB">
        <w:rPr>
          <w:rFonts w:ascii="CharterBT-Roman" w:hAnsi="CharterBT-Roman" w:cs="CharterBT-Roman"/>
          <w:color w:val="000000" w:themeColor="text1"/>
          <w:szCs w:val="22"/>
          <w:lang w:eastAsia="en-GB" w:bidi="ar-SA"/>
        </w:rPr>
        <w:t xml:space="preserve">Both SDS-PAGE and western blotting indicated that the apparent molecular weight of the </w:t>
      </w:r>
      <w:r>
        <w:rPr>
          <w:rFonts w:ascii="CharterBT-Roman" w:hAnsi="CharterBT-Roman" w:cs="CharterBT-Roman"/>
          <w:color w:val="000000" w:themeColor="text1"/>
          <w:szCs w:val="22"/>
          <w:lang w:eastAsia="en-GB" w:bidi="ar-SA"/>
        </w:rPr>
        <w:t xml:space="preserve">microbially-produced </w:t>
      </w:r>
      <w:r w:rsidRPr="00A37CCB">
        <w:rPr>
          <w:rFonts w:ascii="CharterBT-Italic" w:hAnsi="CharterBT-Italic" w:cs="CharterBT-Italic"/>
          <w:i/>
          <w:iCs/>
          <w:color w:val="000000" w:themeColor="text1"/>
          <w:szCs w:val="22"/>
          <w:lang w:eastAsia="en-GB" w:bidi="ar-SA"/>
        </w:rPr>
        <w:t>Zm</w:t>
      </w:r>
      <w:r w:rsidRPr="00A37CCB">
        <w:rPr>
          <w:rFonts w:ascii="CharterBT-Roman" w:hAnsi="CharterBT-Roman" w:cs="CharterBT-Roman"/>
          <w:color w:val="000000" w:themeColor="text1"/>
          <w:szCs w:val="22"/>
          <w:lang w:eastAsia="en-GB" w:bidi="ar-SA"/>
        </w:rPr>
        <w:t xml:space="preserve">PSY1 protein was </w:t>
      </w:r>
      <w:r w:rsidRPr="00A37CCB">
        <w:rPr>
          <w:rFonts w:ascii="CharterBT-Italic" w:hAnsi="CharterBT-Italic" w:cs="CharterBT-Italic"/>
          <w:i/>
          <w:iCs/>
          <w:color w:val="000000" w:themeColor="text1"/>
          <w:szCs w:val="22"/>
          <w:lang w:eastAsia="en-GB" w:bidi="ar-SA"/>
        </w:rPr>
        <w:t>ca</w:t>
      </w:r>
      <w:r w:rsidRPr="00A37CCB">
        <w:rPr>
          <w:rFonts w:ascii="CharterBT-Roman" w:hAnsi="CharterBT-Roman" w:cs="CharterBT-Roman"/>
          <w:color w:val="000000" w:themeColor="text1"/>
          <w:szCs w:val="22"/>
          <w:lang w:eastAsia="en-GB" w:bidi="ar-SA"/>
        </w:rPr>
        <w:t xml:space="preserve">. 42 kDa; based on densitometric analysis, the protein was </w:t>
      </w:r>
      <w:r w:rsidRPr="00A37CCB">
        <w:rPr>
          <w:rFonts w:ascii="CMMI10" w:hAnsi="CMMI10" w:cs="CMMI10"/>
          <w:color w:val="000000" w:themeColor="text1"/>
          <w:sz w:val="23"/>
          <w:szCs w:val="23"/>
          <w:lang w:eastAsia="en-GB" w:bidi="ar-SA"/>
        </w:rPr>
        <w:t xml:space="preserve">&gt; </w:t>
      </w:r>
      <w:r>
        <w:rPr>
          <w:rFonts w:ascii="CharterBT-Roman" w:hAnsi="CharterBT-Roman" w:cs="CharterBT-Roman"/>
          <w:color w:val="000000" w:themeColor="text1"/>
          <w:szCs w:val="22"/>
          <w:lang w:eastAsia="en-GB" w:bidi="ar-SA"/>
        </w:rPr>
        <w:t>95%</w:t>
      </w:r>
      <w:r w:rsidRPr="00A37CCB">
        <w:rPr>
          <w:rFonts w:ascii="CharterBT-Roman" w:hAnsi="CharterBT-Roman" w:cs="CharterBT-Roman"/>
          <w:color w:val="000000" w:themeColor="text1"/>
          <w:szCs w:val="22"/>
          <w:lang w:eastAsia="en-GB" w:bidi="ar-SA"/>
        </w:rPr>
        <w:t xml:space="preserve"> pure. </w:t>
      </w:r>
      <w:r>
        <w:rPr>
          <w:rFonts w:ascii="CharterBT-Roman" w:hAnsi="CharterBT-Roman" w:cs="CharterBT-Roman"/>
          <w:color w:val="000000" w:themeColor="text1"/>
          <w:szCs w:val="22"/>
          <w:lang w:eastAsia="en-GB" w:bidi="ar-SA"/>
        </w:rPr>
        <w:t xml:space="preserve">Similarly, SDS-PAGE and western blotting confirmed that </w:t>
      </w:r>
      <w:r>
        <w:rPr>
          <w:rFonts w:ascii="CharterBT-Roman" w:hAnsi="CharterBT-Roman" w:cs="CharterBT-Roman"/>
          <w:szCs w:val="22"/>
          <w:lang w:eastAsia="en-GB" w:bidi="ar-SA"/>
        </w:rPr>
        <w:t xml:space="preserve">the apparent molecular weight of the microbially-produced CRTI protein was </w:t>
      </w:r>
      <w:r>
        <w:rPr>
          <w:rFonts w:ascii="CharterBT-Italic" w:hAnsi="CharterBT-Italic" w:cs="CharterBT-Italic"/>
          <w:i/>
          <w:iCs/>
          <w:szCs w:val="22"/>
          <w:lang w:eastAsia="en-GB" w:bidi="ar-SA"/>
        </w:rPr>
        <w:t>ca</w:t>
      </w:r>
      <w:r>
        <w:rPr>
          <w:rFonts w:ascii="CharterBT-Roman" w:hAnsi="CharterBT-Roman" w:cs="CharterBT-Roman"/>
          <w:szCs w:val="22"/>
          <w:lang w:eastAsia="en-GB" w:bidi="ar-SA"/>
        </w:rPr>
        <w:t>. 50 kDa (both batches); based on densitometric analysis the protein was &gt;90% pure. These apparent molecular weights are consistent with the predicted molecular weights of the two proteins.</w:t>
      </w:r>
    </w:p>
    <w:p w14:paraId="20643B31"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32" w14:textId="77777777" w:rsidR="00333AC0" w:rsidRPr="00AC6AF5" w:rsidRDefault="00333AC0" w:rsidP="00011A05">
      <w:pPr>
        <w:widowControl/>
        <w:autoSpaceDE w:val="0"/>
        <w:autoSpaceDN w:val="0"/>
        <w:adjustRightInd w:val="0"/>
        <w:rPr>
          <w:rFonts w:ascii="CharterBT-Roman" w:hAnsi="CharterBT-Roman" w:cs="CharterBT-Roman"/>
          <w:i/>
          <w:szCs w:val="22"/>
          <w:lang w:eastAsia="en-GB" w:bidi="ar-SA"/>
        </w:rPr>
      </w:pPr>
      <w:r w:rsidRPr="00AC6AF5">
        <w:rPr>
          <w:rFonts w:ascii="CharterBT-Roman" w:hAnsi="CharterBT-Roman" w:cs="CharterBT-Roman"/>
          <w:i/>
          <w:szCs w:val="22"/>
          <w:lang w:eastAsia="en-GB" w:bidi="ar-SA"/>
        </w:rPr>
        <w:t>Reverse phase HPLC</w:t>
      </w:r>
    </w:p>
    <w:p w14:paraId="20643B33" w14:textId="77777777" w:rsidR="00333AC0" w:rsidRDefault="00333AC0" w:rsidP="00011A05">
      <w:pPr>
        <w:rPr>
          <w:i/>
          <w:color w:val="000000" w:themeColor="text1"/>
        </w:rPr>
      </w:pPr>
    </w:p>
    <w:p w14:paraId="20643B34" w14:textId="77777777" w:rsidR="00333AC0" w:rsidRDefault="00333AC0" w:rsidP="00011A05">
      <w:pPr>
        <w:rPr>
          <w:color w:val="000000" w:themeColor="text1"/>
        </w:rPr>
      </w:pPr>
      <w:r>
        <w:rPr>
          <w:color w:val="000000" w:themeColor="text1"/>
        </w:rPr>
        <w:t xml:space="preserve">This analysis showed the </w:t>
      </w:r>
      <w:r w:rsidRPr="00AC6AF5">
        <w:rPr>
          <w:i/>
          <w:color w:val="000000" w:themeColor="text1"/>
        </w:rPr>
        <w:t>Zm</w:t>
      </w:r>
      <w:r>
        <w:rPr>
          <w:color w:val="000000" w:themeColor="text1"/>
        </w:rPr>
        <w:t>PSY1 protein to be 93.7% pure, and the CRTI protein to be 91.6% pure and 84.9% pure in the two batches analysed.</w:t>
      </w:r>
    </w:p>
    <w:p w14:paraId="20643B35" w14:textId="77777777" w:rsidR="00333AC0" w:rsidRDefault="00333AC0" w:rsidP="00011A05">
      <w:pPr>
        <w:rPr>
          <w:color w:val="000000" w:themeColor="text1"/>
        </w:rPr>
      </w:pPr>
    </w:p>
    <w:p w14:paraId="20643B36" w14:textId="77777777" w:rsidR="00333AC0" w:rsidRPr="00060EBB" w:rsidRDefault="00333AC0" w:rsidP="00011A05">
      <w:pPr>
        <w:rPr>
          <w:i/>
          <w:color w:val="000000" w:themeColor="text1"/>
        </w:rPr>
      </w:pPr>
      <w:r w:rsidRPr="00060EBB">
        <w:rPr>
          <w:i/>
          <w:color w:val="000000" w:themeColor="text1"/>
        </w:rPr>
        <w:t>Relative amino acid analysis</w:t>
      </w:r>
    </w:p>
    <w:p w14:paraId="20643B37" w14:textId="77777777" w:rsidR="00333AC0" w:rsidRDefault="00333AC0" w:rsidP="00011A05">
      <w:pPr>
        <w:rPr>
          <w:color w:val="000000" w:themeColor="text1"/>
        </w:rPr>
      </w:pPr>
    </w:p>
    <w:p w14:paraId="20643B38"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Overall, there was good agreement between the theoretical and measured amino acid compositions of </w:t>
      </w:r>
      <w:r w:rsidRPr="00060EBB">
        <w:rPr>
          <w:rFonts w:ascii="CharterBT-Roman" w:hAnsi="CharterBT-Roman" w:cs="CharterBT-Roman"/>
          <w:i/>
          <w:szCs w:val="22"/>
          <w:lang w:eastAsia="en-GB" w:bidi="ar-SA"/>
        </w:rPr>
        <w:t>Zm</w:t>
      </w:r>
      <w:r>
        <w:rPr>
          <w:rFonts w:ascii="CharterBT-Roman" w:hAnsi="CharterBT-Roman" w:cs="CharterBT-Roman"/>
          <w:szCs w:val="22"/>
          <w:lang w:eastAsia="en-GB" w:bidi="ar-SA"/>
        </w:rPr>
        <w:t>PSY1 and CRTI (both batches).</w:t>
      </w:r>
    </w:p>
    <w:p w14:paraId="20643B39" w14:textId="77777777" w:rsidR="00333AC0" w:rsidRDefault="00333AC0" w:rsidP="00011A05">
      <w:pPr>
        <w:rPr>
          <w:rFonts w:ascii="CharterBT-Roman" w:hAnsi="CharterBT-Roman" w:cs="CharterBT-Roman"/>
          <w:szCs w:val="22"/>
          <w:lang w:eastAsia="en-GB" w:bidi="ar-SA"/>
        </w:rPr>
      </w:pPr>
    </w:p>
    <w:p w14:paraId="20643B3A" w14:textId="77777777" w:rsidR="00333AC0" w:rsidRPr="006C63D7" w:rsidRDefault="00333AC0" w:rsidP="00011A05">
      <w:pPr>
        <w:rPr>
          <w:rFonts w:cs="Arial"/>
          <w:i/>
          <w:szCs w:val="22"/>
          <w:lang w:eastAsia="en-GB" w:bidi="ar-SA"/>
        </w:rPr>
      </w:pPr>
      <w:r w:rsidRPr="006C63D7">
        <w:rPr>
          <w:rFonts w:cs="Arial"/>
          <w:i/>
          <w:szCs w:val="22"/>
          <w:lang w:eastAsia="en-GB" w:bidi="ar-SA"/>
        </w:rPr>
        <w:t>MALDI</w:t>
      </w:r>
      <w:r>
        <w:rPr>
          <w:rFonts w:cs="Arial"/>
          <w:i/>
          <w:szCs w:val="22"/>
          <w:lang w:eastAsia="en-GB" w:bidi="ar-SA"/>
        </w:rPr>
        <w:t>-TOF</w:t>
      </w:r>
      <w:r w:rsidRPr="006C63D7">
        <w:rPr>
          <w:rFonts w:cs="Arial"/>
          <w:i/>
          <w:szCs w:val="22"/>
          <w:lang w:eastAsia="en-GB" w:bidi="ar-SA"/>
        </w:rPr>
        <w:t xml:space="preserve"> MS/MS mapping</w:t>
      </w:r>
    </w:p>
    <w:p w14:paraId="20643B3B" w14:textId="77777777" w:rsidR="00333AC0" w:rsidRDefault="00333AC0" w:rsidP="00011A05">
      <w:pPr>
        <w:rPr>
          <w:rFonts w:ascii="CharterBT-Roman" w:hAnsi="CharterBT-Roman" w:cs="CharterBT-Roman"/>
          <w:szCs w:val="22"/>
          <w:lang w:eastAsia="en-GB" w:bidi="ar-SA"/>
        </w:rPr>
      </w:pPr>
    </w:p>
    <w:p w14:paraId="20643B3C" w14:textId="77777777" w:rsidR="00333AC0" w:rsidRPr="0001479A" w:rsidRDefault="00333AC0" w:rsidP="00011A05">
      <w:pPr>
        <w:pStyle w:val="BodyText"/>
        <w:rPr>
          <w:rFonts w:cs="Arial"/>
          <w:i/>
          <w:color w:val="000000" w:themeColor="text1"/>
          <w:szCs w:val="22"/>
        </w:rPr>
      </w:pPr>
      <w:r w:rsidRPr="0019094B">
        <w:rPr>
          <w:rFonts w:cs="Arial"/>
          <w:color w:val="000000" w:themeColor="text1"/>
          <w:szCs w:val="22"/>
        </w:rPr>
        <w:t xml:space="preserve">A protein identification made by peptide mass fingerprinting is considered to be reliable if the measured coverage of the sequence is 15% or higher with a minimum of five unique peptide matches with </w:t>
      </w:r>
      <w:r w:rsidRPr="0001479A">
        <w:rPr>
          <w:rFonts w:cs="Arial"/>
          <w:color w:val="000000" w:themeColor="text1"/>
          <w:szCs w:val="22"/>
        </w:rPr>
        <w:t xml:space="preserve">those expected from a specified enzyme digestion of the theoretical protein </w:t>
      </w:r>
      <w:r w:rsidRPr="0001479A">
        <w:rPr>
          <w:rFonts w:cs="Arial"/>
          <w:noProof/>
          <w:color w:val="000000" w:themeColor="text1"/>
          <w:szCs w:val="22"/>
        </w:rPr>
        <w:t>(Jensen et al. 1997)</w:t>
      </w:r>
      <w:r w:rsidRPr="0001479A">
        <w:rPr>
          <w:rFonts w:cs="Arial"/>
          <w:color w:val="000000" w:themeColor="text1"/>
          <w:szCs w:val="22"/>
        </w:rPr>
        <w:t>.</w:t>
      </w:r>
    </w:p>
    <w:p w14:paraId="20643B3D" w14:textId="77777777" w:rsidR="00333AC0" w:rsidRDefault="00333AC0" w:rsidP="00011A05">
      <w:pPr>
        <w:widowControl/>
        <w:autoSpaceDE w:val="0"/>
        <w:autoSpaceDN w:val="0"/>
        <w:adjustRightInd w:val="0"/>
        <w:rPr>
          <w:rFonts w:cs="Arial"/>
          <w:szCs w:val="22"/>
          <w:lang w:eastAsia="en-GB" w:bidi="ar-SA"/>
        </w:rPr>
      </w:pPr>
      <w:r w:rsidRPr="0001479A">
        <w:rPr>
          <w:rFonts w:cs="Arial"/>
          <w:szCs w:val="22"/>
          <w:lang w:eastAsia="en-GB" w:bidi="ar-SA"/>
        </w:rPr>
        <w:t xml:space="preserve">Analysis of the trypsin-digested </w:t>
      </w:r>
      <w:r w:rsidRPr="0001479A">
        <w:rPr>
          <w:rFonts w:cs="Arial"/>
          <w:i/>
          <w:iCs/>
          <w:szCs w:val="22"/>
          <w:lang w:eastAsia="en-GB" w:bidi="ar-SA"/>
        </w:rPr>
        <w:t>Zm</w:t>
      </w:r>
      <w:r w:rsidRPr="0001479A">
        <w:rPr>
          <w:rFonts w:cs="Arial"/>
          <w:szCs w:val="22"/>
          <w:lang w:eastAsia="en-GB" w:bidi="ar-SA"/>
        </w:rPr>
        <w:t xml:space="preserve">PSY1 protein identified 13 peptide fragments covering 48% of the amino acid sequence. MS/MS partial sequencing of 7 peptide fragments was used to unambiguously identify the microbial-expressed </w:t>
      </w:r>
      <w:r w:rsidRPr="0001479A">
        <w:rPr>
          <w:rFonts w:cs="Arial"/>
          <w:i/>
          <w:iCs/>
          <w:szCs w:val="22"/>
          <w:lang w:eastAsia="en-GB" w:bidi="ar-SA"/>
        </w:rPr>
        <w:t>Zm</w:t>
      </w:r>
      <w:r w:rsidRPr="0001479A">
        <w:rPr>
          <w:rFonts w:cs="Arial"/>
          <w:szCs w:val="22"/>
          <w:lang w:eastAsia="en-GB" w:bidi="ar-SA"/>
        </w:rPr>
        <w:t xml:space="preserve">PSY1 as corresponding to </w:t>
      </w:r>
      <w:r w:rsidRPr="0001479A">
        <w:rPr>
          <w:rFonts w:cs="Arial"/>
          <w:i/>
          <w:iCs/>
          <w:szCs w:val="22"/>
          <w:lang w:eastAsia="en-GB" w:bidi="ar-SA"/>
        </w:rPr>
        <w:t xml:space="preserve">Zea mays </w:t>
      </w:r>
      <w:r w:rsidRPr="0001479A">
        <w:rPr>
          <w:rFonts w:cs="Arial"/>
          <w:szCs w:val="22"/>
          <w:lang w:eastAsia="en-GB" w:bidi="ar-SA"/>
        </w:rPr>
        <w:t>phytoene synthase</w:t>
      </w:r>
      <w:r>
        <w:rPr>
          <w:rFonts w:cs="Arial"/>
          <w:szCs w:val="22"/>
          <w:lang w:eastAsia="en-GB" w:bidi="ar-SA"/>
        </w:rPr>
        <w:t xml:space="preserve"> (GenBank Accession no. AAB60314)</w:t>
      </w:r>
      <w:r w:rsidRPr="0001479A">
        <w:rPr>
          <w:rFonts w:cs="Arial"/>
          <w:szCs w:val="22"/>
          <w:lang w:eastAsia="en-GB" w:bidi="ar-SA"/>
        </w:rPr>
        <w:t xml:space="preserve">). </w:t>
      </w:r>
    </w:p>
    <w:p w14:paraId="20643B3E" w14:textId="77777777" w:rsidR="00333AC0" w:rsidRPr="0045254D" w:rsidRDefault="00333AC0" w:rsidP="00011A05">
      <w:pPr>
        <w:widowControl/>
        <w:autoSpaceDE w:val="0"/>
        <w:autoSpaceDN w:val="0"/>
        <w:adjustRightInd w:val="0"/>
        <w:rPr>
          <w:rFonts w:ascii="CharterBT-Roman" w:hAnsi="CharterBT-Roman" w:cs="CharterBT-Roman"/>
          <w:szCs w:val="22"/>
          <w:lang w:eastAsia="en-GB" w:bidi="ar-SA"/>
        </w:rPr>
      </w:pPr>
      <w:r w:rsidRPr="0001479A">
        <w:rPr>
          <w:rFonts w:cs="Arial"/>
          <w:szCs w:val="22"/>
          <w:lang w:eastAsia="en-GB" w:bidi="ar-SA"/>
        </w:rPr>
        <w:t>Analysis of the</w:t>
      </w:r>
      <w:r>
        <w:rPr>
          <w:rFonts w:cs="Arial"/>
          <w:szCs w:val="22"/>
          <w:lang w:eastAsia="en-GB" w:bidi="ar-SA"/>
        </w:rPr>
        <w:t xml:space="preserve"> first batch of</w:t>
      </w:r>
      <w:r w:rsidRPr="0001479A">
        <w:rPr>
          <w:rFonts w:cs="Arial"/>
          <w:szCs w:val="22"/>
          <w:lang w:eastAsia="en-GB" w:bidi="ar-SA"/>
        </w:rPr>
        <w:t xml:space="preserve"> trypsin-digested CRTI protein identified 16 peptide fragments covering 39</w:t>
      </w:r>
      <w:r>
        <w:rPr>
          <w:rFonts w:cs="Arial"/>
          <w:szCs w:val="22"/>
          <w:lang w:eastAsia="en-GB" w:bidi="ar-SA"/>
        </w:rPr>
        <w:t>%</w:t>
      </w:r>
      <w:r w:rsidRPr="0001479A">
        <w:rPr>
          <w:rFonts w:cs="Arial"/>
          <w:szCs w:val="22"/>
          <w:lang w:eastAsia="en-GB" w:bidi="ar-SA"/>
        </w:rPr>
        <w:t xml:space="preserve"> of the amino acid sequence. MS/MS partial sequencing of 11 peptide fragments was used to unambiguously identify the microbial-expressed CRTI as corresponding to CRTI_PANAN (UniProt entry P21685).</w:t>
      </w:r>
      <w:r>
        <w:rPr>
          <w:rFonts w:cs="Arial"/>
          <w:szCs w:val="22"/>
          <w:lang w:eastAsia="en-GB" w:bidi="ar-SA"/>
        </w:rPr>
        <w:t xml:space="preserve"> Analysis of the second batch of </w:t>
      </w:r>
      <w:r>
        <w:rPr>
          <w:rFonts w:ascii="CharterBT-Roman" w:hAnsi="CharterBT-Roman" w:cs="CharterBT-Roman"/>
          <w:szCs w:val="22"/>
          <w:lang w:eastAsia="en-GB" w:bidi="ar-SA"/>
        </w:rPr>
        <w:t>trypsin-digested CRTI protein identified 28 peptide fragments covering 55% of the amino acid sequence. MS/MS partial sequencing of 11 peptide fragments was used to unambiguously identify the microbial-expressed CRTI as corresponding to CRTI_PANAN (UniProt entry P21685).</w:t>
      </w:r>
    </w:p>
    <w:p w14:paraId="20643B3F" w14:textId="77777777" w:rsidR="00333AC0" w:rsidRPr="0001479A" w:rsidRDefault="00333AC0" w:rsidP="00011A05">
      <w:pPr>
        <w:rPr>
          <w:rFonts w:cs="Arial"/>
          <w:szCs w:val="22"/>
          <w:lang w:eastAsia="en-GB" w:bidi="ar-SA"/>
        </w:rPr>
      </w:pPr>
    </w:p>
    <w:p w14:paraId="20643B40" w14:textId="77777777" w:rsidR="00333AC0" w:rsidRPr="0001479A" w:rsidRDefault="00333AC0" w:rsidP="00011A05">
      <w:pPr>
        <w:rPr>
          <w:rFonts w:cs="Arial"/>
          <w:i/>
          <w:szCs w:val="22"/>
          <w:lang w:eastAsia="en-GB" w:bidi="ar-SA"/>
        </w:rPr>
      </w:pPr>
      <w:r w:rsidRPr="0001479A">
        <w:rPr>
          <w:rFonts w:cs="Arial"/>
          <w:i/>
          <w:szCs w:val="22"/>
          <w:lang w:eastAsia="en-GB" w:bidi="ar-SA"/>
        </w:rPr>
        <w:t>N-terminal sequencing</w:t>
      </w:r>
    </w:p>
    <w:p w14:paraId="20643B41" w14:textId="77777777" w:rsidR="00333AC0" w:rsidRPr="0001479A" w:rsidRDefault="00333AC0" w:rsidP="00011A05">
      <w:pPr>
        <w:rPr>
          <w:rFonts w:cs="Arial"/>
          <w:szCs w:val="22"/>
          <w:lang w:eastAsia="en-GB" w:bidi="ar-SA"/>
        </w:rPr>
      </w:pPr>
    </w:p>
    <w:p w14:paraId="20643B42" w14:textId="77777777" w:rsidR="00333AC0" w:rsidRDefault="00333AC0" w:rsidP="00011A05">
      <w:pPr>
        <w:widowControl/>
        <w:autoSpaceDE w:val="0"/>
        <w:autoSpaceDN w:val="0"/>
        <w:adjustRightInd w:val="0"/>
        <w:rPr>
          <w:rFonts w:cs="Arial"/>
          <w:szCs w:val="22"/>
          <w:lang w:eastAsia="en-GB" w:bidi="ar-SA"/>
        </w:rPr>
      </w:pPr>
      <w:r w:rsidRPr="0001479A">
        <w:rPr>
          <w:rFonts w:cs="Arial"/>
          <w:color w:val="000000" w:themeColor="text1"/>
          <w:szCs w:val="22"/>
        </w:rPr>
        <w:t xml:space="preserve">For </w:t>
      </w:r>
      <w:r w:rsidRPr="0001479A">
        <w:rPr>
          <w:rFonts w:cs="Arial"/>
          <w:i/>
          <w:color w:val="000000" w:themeColor="text1"/>
          <w:szCs w:val="22"/>
        </w:rPr>
        <w:t>Zm</w:t>
      </w:r>
      <w:r w:rsidRPr="0001479A">
        <w:rPr>
          <w:rFonts w:cs="Arial"/>
          <w:color w:val="000000" w:themeColor="text1"/>
          <w:szCs w:val="22"/>
        </w:rPr>
        <w:t xml:space="preserve">PSY1, </w:t>
      </w:r>
      <w:r>
        <w:rPr>
          <w:rFonts w:cs="Arial"/>
          <w:szCs w:val="22"/>
          <w:lang w:eastAsia="en-GB" w:bidi="ar-SA"/>
        </w:rPr>
        <w:t>the expected sequence was</w:t>
      </w:r>
      <w:r w:rsidRPr="0001479A">
        <w:rPr>
          <w:rFonts w:cs="Arial"/>
          <w:szCs w:val="22"/>
          <w:lang w:eastAsia="en-GB" w:bidi="ar-SA"/>
        </w:rPr>
        <w:t xml:space="preserve"> MNHKVHHHHHH</w:t>
      </w:r>
      <w:r>
        <w:rPr>
          <w:rFonts w:cs="Arial"/>
          <w:szCs w:val="22"/>
          <w:lang w:eastAsia="en-GB" w:bidi="ar-SA"/>
        </w:rPr>
        <w:t xml:space="preserve"> (</w:t>
      </w:r>
      <w:r w:rsidRPr="0001479A">
        <w:rPr>
          <w:rFonts w:cs="Arial"/>
          <w:szCs w:val="22"/>
          <w:lang w:eastAsia="en-GB" w:bidi="ar-SA"/>
        </w:rPr>
        <w:t xml:space="preserve">see </w:t>
      </w:r>
      <w:r w:rsidRPr="00B275D4">
        <w:rPr>
          <w:rFonts w:cs="Arial"/>
          <w:szCs w:val="22"/>
          <w:lang w:eastAsia="en-GB" w:bidi="ar-SA"/>
        </w:rPr>
        <w:t>Section 4.1.1) but</w:t>
      </w:r>
      <w:r>
        <w:rPr>
          <w:rFonts w:cs="Arial"/>
          <w:szCs w:val="22"/>
          <w:lang w:eastAsia="en-GB" w:bidi="ar-SA"/>
        </w:rPr>
        <w:t xml:space="preserve"> </w:t>
      </w:r>
      <w:r>
        <w:rPr>
          <w:rFonts w:cs="Arial"/>
          <w:color w:val="000000" w:themeColor="text1"/>
          <w:szCs w:val="22"/>
        </w:rPr>
        <w:t xml:space="preserve">each cycle of residue analysis by HPLC yielded multiple residue possibilities; this </w:t>
      </w:r>
      <w:r>
        <w:rPr>
          <w:rFonts w:cs="Arial"/>
          <w:szCs w:val="22"/>
          <w:lang w:eastAsia="en-GB" w:bidi="ar-SA"/>
        </w:rPr>
        <w:t>was likely due to some limited N-terminal proteolysis during production or purification of the protein. This precluded a definitive N-terminal sequence being obtained.</w:t>
      </w:r>
    </w:p>
    <w:p w14:paraId="20643B43" w14:textId="77777777" w:rsidR="00333AC0" w:rsidRDefault="00333AC0" w:rsidP="00011A05">
      <w:pPr>
        <w:widowControl/>
        <w:autoSpaceDE w:val="0"/>
        <w:autoSpaceDN w:val="0"/>
        <w:adjustRightInd w:val="0"/>
        <w:rPr>
          <w:rFonts w:cs="Arial"/>
          <w:szCs w:val="22"/>
          <w:lang w:eastAsia="en-GB" w:bidi="ar-SA"/>
        </w:rPr>
      </w:pPr>
    </w:p>
    <w:p w14:paraId="20643B44" w14:textId="77777777" w:rsidR="00333AC0" w:rsidRPr="00A71126" w:rsidRDefault="00333AC0" w:rsidP="00011A05">
      <w:pPr>
        <w:widowControl/>
        <w:autoSpaceDE w:val="0"/>
        <w:autoSpaceDN w:val="0"/>
        <w:adjustRightInd w:val="0"/>
        <w:rPr>
          <w:rFonts w:cs="Arial"/>
          <w:szCs w:val="22"/>
          <w:lang w:eastAsia="en-GB" w:bidi="ar-SA"/>
        </w:rPr>
      </w:pPr>
      <w:r w:rsidRPr="0001479A">
        <w:rPr>
          <w:rFonts w:cs="Arial"/>
          <w:szCs w:val="22"/>
          <w:lang w:eastAsia="en-GB" w:bidi="ar-SA"/>
        </w:rPr>
        <w:t xml:space="preserve">For </w:t>
      </w:r>
      <w:r>
        <w:rPr>
          <w:rFonts w:cs="Arial"/>
          <w:szCs w:val="22"/>
          <w:lang w:eastAsia="en-GB" w:bidi="ar-SA"/>
        </w:rPr>
        <w:t xml:space="preserve">both batches of </w:t>
      </w:r>
      <w:r w:rsidRPr="0001479A">
        <w:rPr>
          <w:rFonts w:cs="Arial"/>
          <w:szCs w:val="22"/>
          <w:lang w:eastAsia="en-GB" w:bidi="ar-SA"/>
        </w:rPr>
        <w:t>CRTI, the predominant amino terminal sequence in the CRTI protein sample</w:t>
      </w:r>
      <w:r>
        <w:rPr>
          <w:rFonts w:cs="Arial"/>
          <w:szCs w:val="22"/>
          <w:lang w:eastAsia="en-GB" w:bidi="ar-SA"/>
        </w:rPr>
        <w:t>s</w:t>
      </w:r>
      <w:r w:rsidRPr="0001479A">
        <w:rPr>
          <w:rFonts w:cs="Arial"/>
          <w:szCs w:val="22"/>
          <w:lang w:eastAsia="en-GB" w:bidi="ar-SA"/>
        </w:rPr>
        <w:t xml:space="preserve"> was MKPTTVIGAG, which corresponds to that of </w:t>
      </w:r>
      <w:r w:rsidRPr="00A71126">
        <w:rPr>
          <w:rFonts w:cs="Arial"/>
          <w:szCs w:val="22"/>
          <w:lang w:eastAsia="en-GB" w:bidi="ar-SA"/>
        </w:rPr>
        <w:t xml:space="preserve">the CRTI N-terminus (see </w:t>
      </w:r>
      <w:r w:rsidRPr="00B275D4">
        <w:rPr>
          <w:rFonts w:cs="Arial"/>
          <w:szCs w:val="22"/>
          <w:lang w:eastAsia="en-GB" w:bidi="ar-SA"/>
        </w:rPr>
        <w:t>Section</w:t>
      </w:r>
      <w:r>
        <w:rPr>
          <w:rFonts w:cs="Arial"/>
          <w:szCs w:val="22"/>
          <w:lang w:eastAsia="en-GB" w:bidi="ar-SA"/>
        </w:rPr>
        <w:t xml:space="preserve"> </w:t>
      </w:r>
      <w:r w:rsidRPr="00B275D4">
        <w:rPr>
          <w:rFonts w:cs="Arial"/>
          <w:szCs w:val="22"/>
          <w:lang w:eastAsia="en-GB" w:bidi="ar-SA"/>
        </w:rPr>
        <w:t>4.1.1).</w:t>
      </w:r>
    </w:p>
    <w:p w14:paraId="20643B45" w14:textId="77777777" w:rsidR="00333AC0" w:rsidRDefault="00333AC0" w:rsidP="00011A05">
      <w:pPr>
        <w:widowControl/>
        <w:autoSpaceDE w:val="0"/>
        <w:autoSpaceDN w:val="0"/>
        <w:adjustRightInd w:val="0"/>
        <w:rPr>
          <w:rFonts w:cs="Arial"/>
          <w:i/>
          <w:szCs w:val="22"/>
          <w:lang w:eastAsia="en-GB" w:bidi="ar-SA"/>
        </w:rPr>
      </w:pPr>
    </w:p>
    <w:p w14:paraId="20643B46" w14:textId="77777777" w:rsidR="00333AC0" w:rsidRPr="00A71126" w:rsidRDefault="00333AC0" w:rsidP="00011A05">
      <w:pPr>
        <w:widowControl/>
        <w:autoSpaceDE w:val="0"/>
        <w:autoSpaceDN w:val="0"/>
        <w:adjustRightInd w:val="0"/>
        <w:rPr>
          <w:rFonts w:cs="Arial"/>
          <w:i/>
          <w:szCs w:val="22"/>
          <w:lang w:eastAsia="en-GB" w:bidi="ar-SA"/>
        </w:rPr>
      </w:pPr>
      <w:r w:rsidRPr="00A71126">
        <w:rPr>
          <w:rFonts w:cs="Arial"/>
          <w:i/>
          <w:szCs w:val="22"/>
          <w:lang w:eastAsia="en-GB" w:bidi="ar-SA"/>
        </w:rPr>
        <w:t>Enzymatic activity</w:t>
      </w:r>
    </w:p>
    <w:p w14:paraId="20643B47" w14:textId="77777777" w:rsidR="00333AC0" w:rsidRPr="00A71126" w:rsidRDefault="00333AC0" w:rsidP="00011A05">
      <w:pPr>
        <w:widowControl/>
        <w:autoSpaceDE w:val="0"/>
        <w:autoSpaceDN w:val="0"/>
        <w:adjustRightInd w:val="0"/>
        <w:rPr>
          <w:rFonts w:cs="Arial"/>
          <w:szCs w:val="22"/>
          <w:lang w:eastAsia="en-GB" w:bidi="ar-SA"/>
        </w:rPr>
      </w:pPr>
    </w:p>
    <w:p w14:paraId="20643B48" w14:textId="77777777" w:rsidR="00333AC0" w:rsidRPr="00A71126" w:rsidRDefault="00333AC0" w:rsidP="00011A05">
      <w:pPr>
        <w:widowControl/>
        <w:autoSpaceDE w:val="0"/>
        <w:autoSpaceDN w:val="0"/>
        <w:adjustRightInd w:val="0"/>
        <w:rPr>
          <w:rFonts w:cs="Arial"/>
          <w:szCs w:val="22"/>
          <w:lang w:eastAsia="en-GB" w:bidi="ar-SA"/>
        </w:rPr>
      </w:pPr>
      <w:r w:rsidRPr="00A71126">
        <w:rPr>
          <w:rFonts w:cs="Arial"/>
          <w:i/>
          <w:szCs w:val="22"/>
          <w:lang w:eastAsia="en-GB" w:bidi="ar-SA"/>
        </w:rPr>
        <w:t>E.coli</w:t>
      </w:r>
      <w:r w:rsidRPr="00A71126">
        <w:rPr>
          <w:rFonts w:cs="Arial"/>
          <w:szCs w:val="22"/>
          <w:lang w:eastAsia="en-GB" w:bidi="ar-SA"/>
        </w:rPr>
        <w:t>-expressed</w:t>
      </w:r>
      <w:r w:rsidRPr="00A71126">
        <w:rPr>
          <w:rFonts w:cs="Arial"/>
          <w:i/>
          <w:szCs w:val="22"/>
          <w:lang w:eastAsia="en-GB" w:bidi="ar-SA"/>
        </w:rPr>
        <w:t xml:space="preserve"> Zm</w:t>
      </w:r>
      <w:r w:rsidRPr="00A71126">
        <w:rPr>
          <w:rFonts w:cs="Arial"/>
          <w:szCs w:val="22"/>
          <w:lang w:eastAsia="en-GB" w:bidi="ar-SA"/>
        </w:rPr>
        <w:t>PSY1 catalysed the production of 15-</w:t>
      </w:r>
      <w:r w:rsidRPr="00A71126">
        <w:rPr>
          <w:rFonts w:cs="Arial"/>
          <w:i/>
          <w:iCs/>
          <w:szCs w:val="22"/>
          <w:lang w:eastAsia="en-GB" w:bidi="ar-SA"/>
        </w:rPr>
        <w:t>cis</w:t>
      </w:r>
      <w:r w:rsidRPr="00A71126">
        <w:rPr>
          <w:rFonts w:cs="Arial"/>
          <w:szCs w:val="22"/>
          <w:lang w:eastAsia="en-GB" w:bidi="ar-SA"/>
        </w:rPr>
        <w:t xml:space="preserve">-phytoene from DMAPP and IPP, in the presence of active </w:t>
      </w:r>
      <w:r w:rsidRPr="00A71126">
        <w:rPr>
          <w:rFonts w:cs="Arial"/>
          <w:i/>
          <w:iCs/>
          <w:szCs w:val="22"/>
          <w:lang w:eastAsia="en-GB" w:bidi="ar-SA"/>
        </w:rPr>
        <w:t>A. thaliana</w:t>
      </w:r>
      <w:r w:rsidRPr="00A71126">
        <w:rPr>
          <w:rFonts w:cs="Arial"/>
          <w:szCs w:val="22"/>
          <w:lang w:eastAsia="en-GB" w:bidi="ar-SA"/>
        </w:rPr>
        <w:t xml:space="preserve"> GGPP synthase, at the rate of </w:t>
      </w:r>
      <w:r w:rsidRPr="00A71126">
        <w:rPr>
          <w:rFonts w:cs="Arial"/>
          <w:i/>
          <w:iCs/>
          <w:szCs w:val="22"/>
          <w:lang w:eastAsia="en-GB" w:bidi="ar-SA"/>
        </w:rPr>
        <w:t>ca</w:t>
      </w:r>
      <w:r w:rsidRPr="00A71126">
        <w:rPr>
          <w:rFonts w:cs="Arial"/>
          <w:szCs w:val="22"/>
          <w:lang w:eastAsia="en-GB" w:bidi="ar-SA"/>
        </w:rPr>
        <w:t>. 28.4 pmol μg−1 min−1 under the assay conditions used.</w:t>
      </w:r>
    </w:p>
    <w:p w14:paraId="20643B49" w14:textId="77777777" w:rsidR="00333AC0" w:rsidRPr="00A71126" w:rsidRDefault="00333AC0" w:rsidP="00011A05">
      <w:pPr>
        <w:widowControl/>
        <w:autoSpaceDE w:val="0"/>
        <w:autoSpaceDN w:val="0"/>
        <w:adjustRightInd w:val="0"/>
        <w:rPr>
          <w:rFonts w:cs="Arial"/>
          <w:szCs w:val="22"/>
          <w:lang w:eastAsia="en-GB" w:bidi="ar-SA"/>
        </w:rPr>
      </w:pPr>
    </w:p>
    <w:p w14:paraId="20643B4A" w14:textId="77777777" w:rsidR="00333AC0" w:rsidRPr="006D24F8" w:rsidRDefault="00333AC0" w:rsidP="00011A05">
      <w:pPr>
        <w:widowControl/>
        <w:autoSpaceDE w:val="0"/>
        <w:autoSpaceDN w:val="0"/>
        <w:adjustRightInd w:val="0"/>
        <w:rPr>
          <w:rFonts w:cs="Arial"/>
          <w:szCs w:val="22"/>
          <w:lang w:eastAsia="en-GB" w:bidi="ar-SA"/>
        </w:rPr>
      </w:pPr>
      <w:r w:rsidRPr="00A71126">
        <w:rPr>
          <w:rFonts w:cs="Arial"/>
          <w:i/>
          <w:szCs w:val="22"/>
          <w:lang w:eastAsia="en-GB" w:bidi="ar-SA"/>
        </w:rPr>
        <w:t>E.coli</w:t>
      </w:r>
      <w:r w:rsidRPr="00A71126">
        <w:rPr>
          <w:rFonts w:cs="Arial"/>
          <w:szCs w:val="22"/>
          <w:lang w:eastAsia="en-GB" w:bidi="ar-SA"/>
        </w:rPr>
        <w:t>-expressed</w:t>
      </w:r>
      <w:r w:rsidRPr="00A71126">
        <w:rPr>
          <w:rFonts w:cs="Arial"/>
          <w:i/>
          <w:szCs w:val="22"/>
          <w:lang w:eastAsia="en-GB" w:bidi="ar-SA"/>
        </w:rPr>
        <w:t xml:space="preserve"> </w:t>
      </w:r>
      <w:r w:rsidRPr="000A6F65">
        <w:rPr>
          <w:rFonts w:cs="Arial"/>
          <w:szCs w:val="22"/>
          <w:lang w:eastAsia="en-GB" w:bidi="ar-SA"/>
        </w:rPr>
        <w:t>CRTI</w:t>
      </w:r>
      <w:r>
        <w:rPr>
          <w:rFonts w:cs="Arial"/>
          <w:szCs w:val="22"/>
          <w:lang w:eastAsia="en-GB" w:bidi="ar-SA"/>
        </w:rPr>
        <w:t xml:space="preserve"> </w:t>
      </w:r>
      <w:r w:rsidRPr="00A71126">
        <w:rPr>
          <w:rFonts w:cs="Arial"/>
          <w:szCs w:val="22"/>
          <w:lang w:eastAsia="en-GB" w:bidi="ar-SA"/>
        </w:rPr>
        <w:t>catalysed the conversion of liposome-incorporated phytoene to all-</w:t>
      </w:r>
      <w:r w:rsidRPr="00A71126">
        <w:rPr>
          <w:rFonts w:cs="Arial"/>
          <w:i/>
          <w:iCs/>
          <w:szCs w:val="22"/>
          <w:lang w:eastAsia="en-GB" w:bidi="ar-SA"/>
        </w:rPr>
        <w:t>trans</w:t>
      </w:r>
      <w:r w:rsidRPr="00A71126">
        <w:rPr>
          <w:rFonts w:cs="Arial"/>
          <w:szCs w:val="22"/>
          <w:lang w:eastAsia="en-GB" w:bidi="ar-SA"/>
        </w:rPr>
        <w:t xml:space="preserve">-lycopene at the rate of </w:t>
      </w:r>
      <w:r w:rsidRPr="00A71126">
        <w:rPr>
          <w:rFonts w:cs="Arial"/>
          <w:i/>
          <w:iCs/>
          <w:szCs w:val="22"/>
          <w:lang w:eastAsia="en-GB" w:bidi="ar-SA"/>
        </w:rPr>
        <w:t>ca</w:t>
      </w:r>
      <w:r w:rsidRPr="00A71126">
        <w:rPr>
          <w:rFonts w:cs="Arial"/>
          <w:szCs w:val="22"/>
          <w:lang w:eastAsia="en-GB" w:bidi="ar-SA"/>
        </w:rPr>
        <w:t xml:space="preserve">. 5.4 pmol </w:t>
      </w:r>
      <w:r>
        <w:rPr>
          <w:rFonts w:cs="Arial"/>
          <w:szCs w:val="22"/>
          <w:lang w:eastAsia="en-GB" w:bidi="ar-SA"/>
        </w:rPr>
        <w:t xml:space="preserve">(one batch) and </w:t>
      </w:r>
      <w:r w:rsidRPr="00BB1677">
        <w:rPr>
          <w:rFonts w:cs="Arial"/>
          <w:i/>
          <w:szCs w:val="22"/>
          <w:lang w:eastAsia="en-GB" w:bidi="ar-SA"/>
        </w:rPr>
        <w:t>ca</w:t>
      </w:r>
      <w:r>
        <w:rPr>
          <w:rFonts w:cs="Arial"/>
          <w:szCs w:val="22"/>
          <w:lang w:eastAsia="en-GB" w:bidi="ar-SA"/>
        </w:rPr>
        <w:t xml:space="preserve">. 2.02 pmol (second batch) </w:t>
      </w:r>
      <w:r w:rsidRPr="00A71126">
        <w:rPr>
          <w:rFonts w:cs="Arial"/>
          <w:szCs w:val="22"/>
          <w:lang w:eastAsia="en-GB" w:bidi="ar-SA"/>
        </w:rPr>
        <w:t>all-</w:t>
      </w:r>
      <w:r w:rsidRPr="00A71126">
        <w:rPr>
          <w:rFonts w:cs="Arial"/>
          <w:i/>
          <w:iCs/>
          <w:szCs w:val="22"/>
          <w:lang w:eastAsia="en-GB" w:bidi="ar-SA"/>
        </w:rPr>
        <w:t>trans</w:t>
      </w:r>
      <w:r w:rsidRPr="00A71126">
        <w:rPr>
          <w:rFonts w:cs="Arial"/>
          <w:szCs w:val="22"/>
          <w:lang w:eastAsia="en-GB" w:bidi="ar-SA"/>
        </w:rPr>
        <w:t>-lycopene μg</w:t>
      </w:r>
      <w:r w:rsidRPr="006D24F8">
        <w:rPr>
          <w:rFonts w:cs="Arial"/>
          <w:szCs w:val="22"/>
          <w:vertAlign w:val="superscript"/>
          <w:lang w:eastAsia="en-GB" w:bidi="ar-SA"/>
        </w:rPr>
        <w:t>−1</w:t>
      </w:r>
      <w:r w:rsidRPr="00A71126">
        <w:rPr>
          <w:rFonts w:cs="Arial"/>
          <w:szCs w:val="22"/>
          <w:lang w:eastAsia="en-GB" w:bidi="ar-SA"/>
        </w:rPr>
        <w:t xml:space="preserve"> min</w:t>
      </w:r>
      <w:r w:rsidRPr="006D24F8">
        <w:rPr>
          <w:rFonts w:cs="Arial"/>
          <w:szCs w:val="22"/>
          <w:vertAlign w:val="superscript"/>
          <w:lang w:eastAsia="en-GB" w:bidi="ar-SA"/>
        </w:rPr>
        <w:t>−1</w:t>
      </w:r>
      <w:r w:rsidRPr="00A71126">
        <w:rPr>
          <w:rFonts w:cs="Arial"/>
          <w:szCs w:val="22"/>
          <w:lang w:eastAsia="en-GB" w:bidi="ar-SA"/>
        </w:rPr>
        <w:t xml:space="preserve"> under the assay conditions used in this study.</w:t>
      </w:r>
    </w:p>
    <w:p w14:paraId="20643B4B" w14:textId="77777777" w:rsidR="00333AC0" w:rsidRPr="00A71126" w:rsidRDefault="00333AC0" w:rsidP="00011A05">
      <w:pPr>
        <w:widowControl/>
        <w:autoSpaceDE w:val="0"/>
        <w:autoSpaceDN w:val="0"/>
        <w:adjustRightInd w:val="0"/>
        <w:rPr>
          <w:rFonts w:cs="Arial"/>
          <w:szCs w:val="22"/>
          <w:lang w:eastAsia="en-GB" w:bidi="ar-SA"/>
        </w:rPr>
      </w:pPr>
    </w:p>
    <w:p w14:paraId="20643B4C" w14:textId="77777777" w:rsidR="00333AC0" w:rsidRPr="00A71126" w:rsidRDefault="00333AC0" w:rsidP="00011A05">
      <w:pPr>
        <w:widowControl/>
        <w:autoSpaceDE w:val="0"/>
        <w:autoSpaceDN w:val="0"/>
        <w:adjustRightInd w:val="0"/>
        <w:rPr>
          <w:rFonts w:cs="Arial"/>
          <w:szCs w:val="22"/>
          <w:lang w:eastAsia="en-GB" w:bidi="ar-SA"/>
        </w:rPr>
      </w:pPr>
      <w:r w:rsidRPr="00A71126">
        <w:rPr>
          <w:rFonts w:cs="Arial"/>
          <w:szCs w:val="22"/>
          <w:lang w:eastAsia="en-GB" w:bidi="ar-SA"/>
        </w:rPr>
        <w:t xml:space="preserve">These results show that the two </w:t>
      </w:r>
      <w:r w:rsidRPr="00A71126">
        <w:rPr>
          <w:rFonts w:cs="Arial"/>
          <w:i/>
          <w:szCs w:val="22"/>
          <w:lang w:eastAsia="en-GB" w:bidi="ar-SA"/>
        </w:rPr>
        <w:t>E. coli</w:t>
      </w:r>
      <w:r w:rsidRPr="00A71126">
        <w:rPr>
          <w:rFonts w:cs="Arial"/>
          <w:szCs w:val="22"/>
          <w:lang w:eastAsia="en-GB" w:bidi="ar-SA"/>
        </w:rPr>
        <w:t>-expressed proteins both possess the expected activity.</w:t>
      </w:r>
    </w:p>
    <w:p w14:paraId="20643B4D" w14:textId="77777777" w:rsidR="00333AC0" w:rsidRPr="0001479A" w:rsidRDefault="00333AC0" w:rsidP="00011A05">
      <w:pPr>
        <w:pStyle w:val="FSCh6Subsec"/>
        <w:ind w:left="0"/>
        <w:rPr>
          <w:b w:val="0"/>
          <w:color w:val="000000" w:themeColor="text1"/>
          <w:sz w:val="22"/>
          <w:szCs w:val="22"/>
        </w:rPr>
      </w:pPr>
      <w:r w:rsidRPr="0001479A">
        <w:rPr>
          <w:color w:val="000000" w:themeColor="text1"/>
          <w:sz w:val="22"/>
          <w:szCs w:val="22"/>
        </w:rPr>
        <w:t>4.1.4.2</w:t>
      </w:r>
      <w:r w:rsidRPr="0001479A">
        <w:rPr>
          <w:color w:val="000000" w:themeColor="text1"/>
          <w:sz w:val="22"/>
          <w:szCs w:val="22"/>
        </w:rPr>
        <w:tab/>
        <w:t>PMI</w:t>
      </w:r>
    </w:p>
    <w:p w14:paraId="20643B4E" w14:textId="77777777" w:rsidR="00333AC0" w:rsidRPr="0001479A" w:rsidRDefault="00333AC0" w:rsidP="00011A05">
      <w:pPr>
        <w:rPr>
          <w:rFonts w:cs="Arial"/>
          <w:color w:val="000000" w:themeColor="text1"/>
          <w:szCs w:val="22"/>
        </w:rPr>
      </w:pPr>
    </w:p>
    <w:p w14:paraId="20643B4F" w14:textId="77777777" w:rsidR="00333AC0" w:rsidRDefault="00333AC0">
      <w:pPr>
        <w:widowControl/>
        <w:rPr>
          <w:rFonts w:cs="Arial"/>
          <w:color w:val="000000" w:themeColor="text1"/>
          <w:szCs w:val="22"/>
        </w:rPr>
      </w:pPr>
      <w:r w:rsidRPr="00E9316F">
        <w:rPr>
          <w:rFonts w:cs="Arial"/>
          <w:color w:val="000000" w:themeColor="text1"/>
          <w:szCs w:val="22"/>
        </w:rPr>
        <w:t xml:space="preserve">Since the DNA sequence of the </w:t>
      </w:r>
      <w:r w:rsidRPr="00E9316F">
        <w:rPr>
          <w:rFonts w:cs="Arial"/>
          <w:i/>
          <w:color w:val="000000" w:themeColor="text1"/>
          <w:szCs w:val="22"/>
        </w:rPr>
        <w:t>pmi</w:t>
      </w:r>
      <w:r w:rsidRPr="00E9316F">
        <w:rPr>
          <w:rFonts w:cs="Arial"/>
          <w:color w:val="000000" w:themeColor="text1"/>
          <w:szCs w:val="22"/>
        </w:rPr>
        <w:t xml:space="preserve"> gene is the same as that used for the genetic modification of lines previously assessed by FSANZ it was not necessary for characterisation of the PMI protein, as expressed in GR2E, to be done, other than to confirm that the amino acid sequence was the same as that i</w:t>
      </w:r>
      <w:r>
        <w:rPr>
          <w:rFonts w:cs="Arial"/>
          <w:color w:val="000000" w:themeColor="text1"/>
          <w:szCs w:val="22"/>
        </w:rPr>
        <w:t>n</w:t>
      </w:r>
      <w:r w:rsidRPr="00E9316F">
        <w:rPr>
          <w:rFonts w:cs="Arial"/>
          <w:color w:val="000000" w:themeColor="text1"/>
          <w:szCs w:val="22"/>
        </w:rPr>
        <w:t xml:space="preserve"> previously assessed lines</w:t>
      </w:r>
      <w:r>
        <w:rPr>
          <w:rFonts w:cs="Arial"/>
          <w:color w:val="000000" w:themeColor="text1"/>
          <w:szCs w:val="22"/>
        </w:rPr>
        <w:t xml:space="preserve"> expressing the same protein (</w:t>
      </w:r>
      <w:r w:rsidRPr="00B275D4">
        <w:rPr>
          <w:rFonts w:cs="Arial"/>
          <w:color w:val="000000" w:themeColor="text1"/>
          <w:szCs w:val="22"/>
        </w:rPr>
        <w:t>see Section 4.1.2).</w:t>
      </w:r>
    </w:p>
    <w:p w14:paraId="20643B50" w14:textId="77777777" w:rsidR="00333AC0" w:rsidRDefault="00333AC0" w:rsidP="00011A05">
      <w:pPr>
        <w:pStyle w:val="Heading3"/>
      </w:pPr>
      <w:r>
        <w:t>4.1.5</w:t>
      </w:r>
      <w:r>
        <w:tab/>
      </w:r>
      <w:r w:rsidRPr="00CE29CC">
        <w:t>Safety of the introduced proteins</w:t>
      </w:r>
    </w:p>
    <w:p w14:paraId="20643B51" w14:textId="77777777" w:rsidR="00333AC0" w:rsidRPr="00CE29CC" w:rsidRDefault="00333AC0" w:rsidP="00011A05">
      <w:pPr>
        <w:rPr>
          <w:lang w:eastAsia="en-AU" w:bidi="ar-SA"/>
        </w:rPr>
      </w:pPr>
      <w:r>
        <w:rPr>
          <w:lang w:eastAsia="en-AU" w:bidi="ar-SA"/>
        </w:rPr>
        <w:t>Data were provided to assess the potential toxicity and allergenicity of the proteins expressed in GR2E.</w:t>
      </w:r>
    </w:p>
    <w:p w14:paraId="20643B52" w14:textId="77777777" w:rsidR="00333AC0" w:rsidRDefault="00333AC0" w:rsidP="00011A05">
      <w:pPr>
        <w:pStyle w:val="FSCh6Subsec"/>
        <w:ind w:left="0"/>
        <w:rPr>
          <w:b w:val="0"/>
          <w:color w:val="000000" w:themeColor="text1"/>
          <w:sz w:val="22"/>
          <w:szCs w:val="22"/>
        </w:rPr>
      </w:pPr>
      <w:r w:rsidRPr="00CE29CC">
        <w:rPr>
          <w:color w:val="000000" w:themeColor="text1"/>
          <w:sz w:val="22"/>
          <w:szCs w:val="22"/>
        </w:rPr>
        <w:t>4.1.5.1</w:t>
      </w:r>
      <w:r w:rsidRPr="00CE29CC">
        <w:rPr>
          <w:color w:val="000000" w:themeColor="text1"/>
          <w:sz w:val="22"/>
          <w:szCs w:val="22"/>
        </w:rPr>
        <w:tab/>
      </w:r>
      <w:r>
        <w:rPr>
          <w:color w:val="000000" w:themeColor="text1"/>
          <w:sz w:val="22"/>
          <w:szCs w:val="22"/>
        </w:rPr>
        <w:t xml:space="preserve">Potential toxicity of </w:t>
      </w:r>
      <w:r w:rsidRPr="00CE29CC">
        <w:rPr>
          <w:color w:val="000000" w:themeColor="text1"/>
          <w:sz w:val="22"/>
          <w:szCs w:val="22"/>
        </w:rPr>
        <w:t>ZmPSY1 and CRTI</w:t>
      </w:r>
    </w:p>
    <w:p w14:paraId="20643B53" w14:textId="77777777" w:rsidR="00333AC0" w:rsidRPr="005C4E58" w:rsidRDefault="00333AC0" w:rsidP="00011A05">
      <w:pPr>
        <w:rPr>
          <w:lang w:eastAsia="en-AU" w:bidi="ar-SA"/>
        </w:rPr>
      </w:pPr>
    </w:p>
    <w:p w14:paraId="20643B54" w14:textId="77777777" w:rsidR="00333AC0" w:rsidRDefault="00333AC0" w:rsidP="00011A05">
      <w:pPr>
        <w:rPr>
          <w:rFonts w:cs="Arial"/>
          <w:color w:val="000000" w:themeColor="text1"/>
          <w:szCs w:val="22"/>
        </w:rPr>
      </w:pPr>
      <w:r w:rsidRPr="00FD793E">
        <w:rPr>
          <w:rFonts w:cs="Arial"/>
          <w:color w:val="000000" w:themeColor="text1"/>
          <w:szCs w:val="22"/>
        </w:rPr>
        <w:t>While the vast majority of proteins ingested as part of the diet are not typically associated with toxic effects, a small number may be harmful to health. Therefore, if a GM food differs from its conventional counterpart by the presence of one or more novel proteins, these proteins should be assessed for their potential toxicity. The main purpose of an assessment of potential toxicity is to establish, using a weight of evidence approach, that the novel protein</w:t>
      </w:r>
      <w:r>
        <w:rPr>
          <w:rFonts w:cs="Arial"/>
          <w:color w:val="000000" w:themeColor="text1"/>
          <w:szCs w:val="22"/>
        </w:rPr>
        <w:t>s</w:t>
      </w:r>
      <w:r w:rsidRPr="00FD793E">
        <w:rPr>
          <w:rFonts w:cs="Arial"/>
          <w:color w:val="000000" w:themeColor="text1"/>
          <w:szCs w:val="22"/>
        </w:rPr>
        <w:t xml:space="preserve"> will behave like any other dietary protein. </w:t>
      </w:r>
    </w:p>
    <w:p w14:paraId="20643B55" w14:textId="77777777" w:rsidR="00333AC0" w:rsidRDefault="00333AC0" w:rsidP="00011A05">
      <w:pPr>
        <w:rPr>
          <w:rFonts w:eastAsia="PMingLiU" w:cs="Arial"/>
          <w:color w:val="000000" w:themeColor="text1"/>
          <w:szCs w:val="22"/>
        </w:rPr>
      </w:pPr>
    </w:p>
    <w:p w14:paraId="20643B56" w14:textId="77777777" w:rsidR="00333AC0" w:rsidRDefault="00333AC0" w:rsidP="00011A05">
      <w:pPr>
        <w:rPr>
          <w:rFonts w:cs="Arial"/>
          <w:color w:val="000000" w:themeColor="text1"/>
          <w:szCs w:val="22"/>
        </w:rPr>
      </w:pPr>
      <w:r w:rsidRPr="009015EA">
        <w:rPr>
          <w:rFonts w:cs="Arial"/>
          <w:color w:val="000000" w:themeColor="text1"/>
          <w:szCs w:val="22"/>
        </w:rPr>
        <w:t xml:space="preserve">The assessment focuses on: </w:t>
      </w:r>
    </w:p>
    <w:p w14:paraId="20643B57" w14:textId="77777777" w:rsidR="00333AC0" w:rsidRPr="003B26B3" w:rsidRDefault="00333AC0" w:rsidP="0022311E">
      <w:pPr>
        <w:pStyle w:val="ListParagraph"/>
        <w:widowControl/>
        <w:numPr>
          <w:ilvl w:val="0"/>
          <w:numId w:val="15"/>
        </w:numPr>
        <w:contextualSpacing w:val="0"/>
        <w:rPr>
          <w:rFonts w:cs="Arial"/>
          <w:color w:val="000000" w:themeColor="text1"/>
          <w:szCs w:val="22"/>
        </w:rPr>
      </w:pPr>
      <w:r w:rsidRPr="003B26B3">
        <w:rPr>
          <w:rFonts w:cs="Arial"/>
          <w:color w:val="000000" w:themeColor="text1"/>
          <w:szCs w:val="22"/>
        </w:rPr>
        <w:t xml:space="preserve">whether the novel proteins have a prior history of safe human consumption, or are sufficiently similar to proteins that have been safely consumed in food; </w:t>
      </w:r>
    </w:p>
    <w:p w14:paraId="20643B58" w14:textId="77777777" w:rsidR="00333AC0" w:rsidRPr="003B26B3" w:rsidRDefault="00333AC0" w:rsidP="0022311E">
      <w:pPr>
        <w:pStyle w:val="ListParagraph"/>
        <w:widowControl/>
        <w:numPr>
          <w:ilvl w:val="0"/>
          <w:numId w:val="15"/>
        </w:numPr>
        <w:contextualSpacing w:val="0"/>
        <w:rPr>
          <w:rFonts w:cs="Arial"/>
          <w:color w:val="000000" w:themeColor="text1"/>
          <w:szCs w:val="22"/>
        </w:rPr>
      </w:pPr>
      <w:r w:rsidRPr="003B26B3">
        <w:rPr>
          <w:rFonts w:cs="Arial"/>
          <w:color w:val="000000" w:themeColor="text1"/>
          <w:szCs w:val="22"/>
        </w:rPr>
        <w:t xml:space="preserve">amino acid sequence similarity with known protein toxins and anti-nutrients; </w:t>
      </w:r>
    </w:p>
    <w:p w14:paraId="20643B59" w14:textId="77777777" w:rsidR="00333AC0" w:rsidRDefault="00333AC0" w:rsidP="0022311E">
      <w:pPr>
        <w:pStyle w:val="ListParagraph"/>
        <w:widowControl/>
        <w:numPr>
          <w:ilvl w:val="0"/>
          <w:numId w:val="15"/>
        </w:numPr>
        <w:contextualSpacing w:val="0"/>
        <w:rPr>
          <w:rFonts w:cs="Arial"/>
          <w:color w:val="000000" w:themeColor="text1"/>
          <w:szCs w:val="22"/>
        </w:rPr>
      </w:pPr>
      <w:r w:rsidRPr="003B26B3">
        <w:rPr>
          <w:rFonts w:cs="Arial"/>
          <w:color w:val="000000" w:themeColor="text1"/>
          <w:szCs w:val="22"/>
        </w:rPr>
        <w:t>structural properties of the novel proteins including whether they are resistant to heat</w:t>
      </w:r>
      <w:r>
        <w:rPr>
          <w:rFonts w:cs="Arial"/>
          <w:color w:val="000000" w:themeColor="text1"/>
          <w:szCs w:val="22"/>
        </w:rPr>
        <w:t xml:space="preserve"> or processing.</w:t>
      </w:r>
    </w:p>
    <w:p w14:paraId="20643B5A" w14:textId="77777777" w:rsidR="00333AC0" w:rsidRDefault="00333AC0" w:rsidP="00011A05">
      <w:pPr>
        <w:rPr>
          <w:rFonts w:cs="Arial"/>
          <w:color w:val="000000" w:themeColor="text1"/>
          <w:szCs w:val="22"/>
        </w:rPr>
      </w:pPr>
    </w:p>
    <w:p w14:paraId="20643B5B" w14:textId="77777777" w:rsidR="00333AC0" w:rsidRPr="00D727AA" w:rsidRDefault="00333AC0" w:rsidP="00011A05">
      <w:pPr>
        <w:rPr>
          <w:rFonts w:eastAsia="PMingLiU" w:cs="Arial"/>
          <w:color w:val="000000" w:themeColor="text1"/>
          <w:szCs w:val="22"/>
        </w:rPr>
      </w:pPr>
      <w:r w:rsidRPr="00FD793E">
        <w:rPr>
          <w:rFonts w:cs="Arial"/>
          <w:color w:val="000000" w:themeColor="text1"/>
          <w:szCs w:val="22"/>
        </w:rPr>
        <w:t xml:space="preserve">An oral toxicity study is </w:t>
      </w:r>
      <w:r w:rsidRPr="00FD793E">
        <w:rPr>
          <w:rFonts w:eastAsia="PMingLiU" w:cs="Arial"/>
          <w:color w:val="000000" w:themeColor="text1"/>
          <w:szCs w:val="22"/>
        </w:rPr>
        <w:t xml:space="preserve">only deemed necessary if the results of biochemical, bioinformatic, </w:t>
      </w:r>
      <w:r w:rsidRPr="00D727AA">
        <w:rPr>
          <w:rFonts w:eastAsia="PMingLiU" w:cs="Arial"/>
          <w:color w:val="000000" w:themeColor="text1"/>
          <w:szCs w:val="22"/>
        </w:rPr>
        <w:t>digestibility or stability studies indicate further investigation of potential toxicity is warranted.</w:t>
      </w:r>
    </w:p>
    <w:p w14:paraId="20643B5C" w14:textId="77777777" w:rsidR="00333AC0" w:rsidRDefault="00333AC0">
      <w:pPr>
        <w:widowControl/>
        <w:rPr>
          <w:rFonts w:cs="Arial"/>
          <w:color w:val="000000" w:themeColor="text1"/>
          <w:szCs w:val="22"/>
        </w:rPr>
      </w:pPr>
    </w:p>
    <w:p w14:paraId="20643B5D" w14:textId="77777777" w:rsidR="00333AC0" w:rsidRPr="003A6B9A" w:rsidRDefault="00333AC0" w:rsidP="00011A05">
      <w:pPr>
        <w:widowControl/>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r w:rsidRPr="003A6B9A">
        <w:rPr>
          <w:rFonts w:cs="Arial"/>
          <w:b/>
          <w:color w:val="000000" w:themeColor="text1"/>
          <w:sz w:val="20"/>
          <w:szCs w:val="20"/>
        </w:rPr>
        <w:t>Studies submitted</w:t>
      </w:r>
    </w:p>
    <w:p w14:paraId="20643B5E" w14:textId="77777777" w:rsidR="00333AC0" w:rsidRPr="003A6B9A" w:rsidRDefault="00333AC0" w:rsidP="00011A05">
      <w:pPr>
        <w:widowControl/>
        <w:pBdr>
          <w:top w:val="single" w:sz="4" w:space="1" w:color="auto"/>
          <w:left w:val="single" w:sz="4" w:space="4" w:color="auto"/>
          <w:bottom w:val="single" w:sz="4" w:space="1" w:color="auto"/>
          <w:right w:val="single" w:sz="4" w:space="4" w:color="auto"/>
        </w:pBdr>
        <w:ind w:left="284" w:hanging="284"/>
        <w:rPr>
          <w:rFonts w:cs="Arial"/>
          <w:color w:val="000000" w:themeColor="text1"/>
          <w:sz w:val="20"/>
          <w:szCs w:val="20"/>
        </w:rPr>
      </w:pPr>
    </w:p>
    <w:p w14:paraId="20643B5F" w14:textId="77777777" w:rsidR="00333AC0" w:rsidRPr="003A6B9A"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3A6B9A">
        <w:rPr>
          <w:rFonts w:cs="Arial"/>
          <w:sz w:val="20"/>
          <w:szCs w:val="20"/>
          <w:lang w:eastAsia="en-GB" w:bidi="ar-SA"/>
        </w:rPr>
        <w:t>. Amino acid sequence similarity search between Zea mays phytoene synthase (ZmPSY1) and known and putative protein toxins. Technical report, IR2016-01005 (unpublished), International Rice Research Institute, Los Banos, Laguna, Philippines</w:t>
      </w:r>
    </w:p>
    <w:p w14:paraId="20643B60" w14:textId="77777777" w:rsidR="00333AC0" w:rsidRPr="003A6B9A"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3A6B9A">
        <w:rPr>
          <w:rFonts w:cs="Arial"/>
          <w:sz w:val="20"/>
          <w:szCs w:val="20"/>
          <w:lang w:eastAsia="en-GB" w:bidi="ar-SA"/>
        </w:rPr>
        <w:t>. Amino acid sequence similarity search between Pantoea ananatis phytoene desaturase (CRTI) and known and putative protein toxins. Technical report, IR2016-01004 (unpublished), International Rice Research Institute, Los Banos, Laguna, Philippines</w:t>
      </w:r>
    </w:p>
    <w:p w14:paraId="20643B61" w14:textId="77777777" w:rsidR="00333AC0" w:rsidRPr="003A6B9A"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3A6B9A">
        <w:rPr>
          <w:rFonts w:cs="Arial"/>
          <w:sz w:val="20"/>
          <w:szCs w:val="20"/>
          <w:lang w:eastAsia="en-GB" w:bidi="ar-SA"/>
        </w:rPr>
        <w:t>. Characterization of the in vitro pepsin digestibility of phytoene synthase protein (ZmPSY1). Technical report, IR2016-01002 (unpublished), International Rice Research Institute, Los Banos, Laguna, Philippines</w:t>
      </w:r>
    </w:p>
    <w:p w14:paraId="20643B62" w14:textId="77777777" w:rsidR="00333AC0"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3A6B9A">
        <w:rPr>
          <w:rFonts w:cs="Arial"/>
          <w:sz w:val="20"/>
          <w:szCs w:val="20"/>
          <w:lang w:eastAsia="en-GB" w:bidi="ar-SA"/>
        </w:rPr>
        <w:t xml:space="preserve">. Characterization of the in vitro pepsin digestibility of phytoene desaturase protein (CRTI) using western blot analysis. Technical report, IR2016-07003 (unpublished) International Rice Research Institute, Los Banos, Laguna, Philippines </w:t>
      </w:r>
    </w:p>
    <w:p w14:paraId="20643B63" w14:textId="77777777" w:rsidR="00333AC0"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6D58DF">
        <w:rPr>
          <w:rFonts w:cs="Arial"/>
          <w:sz w:val="20"/>
          <w:szCs w:val="20"/>
          <w:lang w:eastAsia="en-GB" w:bidi="ar-SA"/>
        </w:rPr>
        <w:t xml:space="preserve">. Characterization of the heat stability of phytoene synthase protein (ZmPSY1). Technical report, IR2015-12002 (unpublished), International Rice Research Institute, Los Banos, Laguna, Philippines </w:t>
      </w:r>
    </w:p>
    <w:p w14:paraId="20643B64" w14:textId="77777777" w:rsidR="00333AC0"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6D58DF">
        <w:rPr>
          <w:rFonts w:cs="Arial"/>
          <w:sz w:val="20"/>
          <w:szCs w:val="20"/>
          <w:lang w:eastAsia="en-GB" w:bidi="ar-SA"/>
        </w:rPr>
        <w:t>. Characterization of the heat stability of phytoene desaturase protein (CRTI). Technical report, IR2015-12001 (unpublished) International Rice Research Institute, Los Banos, Laguna, Philippines</w:t>
      </w:r>
    </w:p>
    <w:p w14:paraId="20643B65" w14:textId="77777777" w:rsidR="00333AC0"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3A6B9A">
        <w:rPr>
          <w:rFonts w:cs="Arial"/>
          <w:sz w:val="20"/>
          <w:szCs w:val="20"/>
          <w:lang w:eastAsia="en-GB" w:bidi="ar-SA"/>
        </w:rPr>
        <w:t>. CRTI: Acute oral toxicity study in mice. Technical report, IR2016-04001</w:t>
      </w:r>
    </w:p>
    <w:p w14:paraId="20643B66" w14:textId="77777777" w:rsidR="00333AC0" w:rsidRDefault="00333AC0">
      <w:pPr>
        <w:widowControl/>
        <w:rPr>
          <w:rFonts w:cs="Arial"/>
          <w:color w:val="000000" w:themeColor="text1"/>
          <w:szCs w:val="22"/>
        </w:rPr>
      </w:pPr>
    </w:p>
    <w:p w14:paraId="20643B67" w14:textId="77777777" w:rsidR="00333AC0" w:rsidRPr="00374549" w:rsidRDefault="00333AC0">
      <w:pPr>
        <w:widowControl/>
        <w:rPr>
          <w:rFonts w:cs="Arial"/>
          <w:i/>
          <w:color w:val="000000" w:themeColor="text1"/>
          <w:szCs w:val="22"/>
        </w:rPr>
      </w:pPr>
      <w:r w:rsidRPr="00374549">
        <w:rPr>
          <w:rFonts w:cs="Arial"/>
          <w:i/>
          <w:color w:val="000000" w:themeColor="text1"/>
          <w:szCs w:val="22"/>
        </w:rPr>
        <w:t>History of human consumption</w:t>
      </w:r>
    </w:p>
    <w:p w14:paraId="20643B68" w14:textId="77777777" w:rsidR="00333AC0" w:rsidRDefault="00333AC0">
      <w:pPr>
        <w:widowControl/>
        <w:rPr>
          <w:rFonts w:cs="Arial"/>
          <w:color w:val="000000" w:themeColor="text1"/>
          <w:szCs w:val="22"/>
        </w:rPr>
      </w:pPr>
    </w:p>
    <w:p w14:paraId="20643B69" w14:textId="77777777" w:rsidR="00333AC0" w:rsidRDefault="00333AC0" w:rsidP="00011A05">
      <w:pPr>
        <w:rPr>
          <w:color w:val="000000" w:themeColor="text1"/>
        </w:rPr>
      </w:pPr>
      <w:r>
        <w:rPr>
          <w:color w:val="000000" w:themeColor="text1"/>
        </w:rPr>
        <w:t xml:space="preserve">Homologues of the PSY1 protein are present in a range of fruits and vegetables containing the carotenoid biosynthetic pathway (e.g. sweet potato, carrot, dark green leafy vegetables such as spinach and kale, pumpkin, rock melon, capsicum, apricots). The </w:t>
      </w:r>
      <w:r w:rsidRPr="00AB4E70">
        <w:rPr>
          <w:i/>
          <w:color w:val="000000" w:themeColor="text1"/>
        </w:rPr>
        <w:t>Zm</w:t>
      </w:r>
      <w:r>
        <w:rPr>
          <w:color w:val="000000" w:themeColor="text1"/>
        </w:rPr>
        <w:t xml:space="preserve">PSY1 protein is itself naturally present in corn kernels. </w:t>
      </w:r>
      <w:r w:rsidRPr="00A71D34">
        <w:rPr>
          <w:i/>
          <w:color w:val="000000" w:themeColor="text1"/>
        </w:rPr>
        <w:t>Pantoea</w:t>
      </w:r>
      <w:r>
        <w:rPr>
          <w:color w:val="000000" w:themeColor="text1"/>
        </w:rPr>
        <w:t xml:space="preserve"> sp. containing the CRTI protein has been detected on meat </w:t>
      </w:r>
      <w:r w:rsidRPr="008A794D">
        <w:rPr>
          <w:noProof/>
          <w:color w:val="000000" w:themeColor="text1"/>
        </w:rPr>
        <w:t>(Ercolini et al. 2006)</w:t>
      </w:r>
      <w:r>
        <w:rPr>
          <w:color w:val="000000" w:themeColor="text1"/>
        </w:rPr>
        <w:t xml:space="preserve">, and fresh fruit and vegetables </w:t>
      </w:r>
      <w:r>
        <w:rPr>
          <w:noProof/>
          <w:color w:val="000000" w:themeColor="text1"/>
        </w:rPr>
        <w:t>(Leff and Fierer 2013)</w:t>
      </w:r>
      <w:r>
        <w:rPr>
          <w:color w:val="000000" w:themeColor="text1"/>
        </w:rPr>
        <w:t xml:space="preserve"> but is not likely to have been widely consumed. </w:t>
      </w:r>
    </w:p>
    <w:p w14:paraId="20643B6A" w14:textId="77777777" w:rsidR="00333AC0" w:rsidRDefault="00333AC0">
      <w:pPr>
        <w:widowControl/>
        <w:rPr>
          <w:rFonts w:cs="Arial"/>
          <w:i/>
          <w:color w:val="000000" w:themeColor="text1"/>
          <w:szCs w:val="22"/>
        </w:rPr>
      </w:pPr>
    </w:p>
    <w:p w14:paraId="20643B6B" w14:textId="77777777" w:rsidR="00333AC0" w:rsidRPr="0030703E" w:rsidRDefault="00333AC0">
      <w:pPr>
        <w:widowControl/>
        <w:rPr>
          <w:rFonts w:cs="Arial"/>
          <w:i/>
          <w:color w:val="000000" w:themeColor="text1"/>
          <w:szCs w:val="22"/>
        </w:rPr>
      </w:pPr>
      <w:r w:rsidRPr="0030703E">
        <w:rPr>
          <w:rFonts w:cs="Arial"/>
          <w:i/>
          <w:color w:val="000000" w:themeColor="text1"/>
          <w:szCs w:val="22"/>
        </w:rPr>
        <w:t>Amino acid sequence similarity to known protein toxins</w:t>
      </w:r>
    </w:p>
    <w:p w14:paraId="20643B6C" w14:textId="77777777" w:rsidR="00333AC0" w:rsidRDefault="00333AC0">
      <w:pPr>
        <w:widowControl/>
        <w:rPr>
          <w:rFonts w:cs="Arial"/>
          <w:color w:val="000000" w:themeColor="text1"/>
          <w:szCs w:val="22"/>
        </w:rPr>
      </w:pPr>
    </w:p>
    <w:p w14:paraId="20643B6D" w14:textId="77777777" w:rsidR="00333AC0" w:rsidRPr="003B26B3" w:rsidRDefault="00333AC0" w:rsidP="00011A05">
      <w:pPr>
        <w:tabs>
          <w:tab w:val="left" w:pos="851"/>
        </w:tabs>
        <w:rPr>
          <w:rFonts w:cs="Arial"/>
          <w:color w:val="000000" w:themeColor="text1"/>
          <w:szCs w:val="22"/>
        </w:rPr>
      </w:pPr>
      <w:r w:rsidRPr="003B26B3">
        <w:rPr>
          <w:rFonts w:cs="Arial"/>
          <w:color w:val="000000" w:themeColor="text1"/>
          <w:szCs w:val="22"/>
        </w:rPr>
        <w:t>Bioinformatic analyses are useful for assessing whether introduced proteins share any amino acid sequence similarity with known protein toxins</w:t>
      </w:r>
      <w:r w:rsidRPr="001E5053">
        <w:rPr>
          <w:rFonts w:cs="Arial"/>
          <w:color w:val="000000" w:themeColor="text1"/>
          <w:szCs w:val="22"/>
        </w:rPr>
        <w:t xml:space="preserve">. </w:t>
      </w:r>
    </w:p>
    <w:p w14:paraId="20643B6E" w14:textId="77777777" w:rsidR="00333AC0" w:rsidRDefault="00333AC0">
      <w:pPr>
        <w:widowControl/>
        <w:rPr>
          <w:rFonts w:cs="Arial"/>
          <w:color w:val="000000" w:themeColor="text1"/>
          <w:szCs w:val="22"/>
        </w:rPr>
      </w:pPr>
    </w:p>
    <w:p w14:paraId="20643B6F" w14:textId="77777777" w:rsidR="00333AC0" w:rsidRPr="00583F01" w:rsidRDefault="00333AC0" w:rsidP="00011A05">
      <w:pPr>
        <w:widowControl/>
        <w:autoSpaceDE w:val="0"/>
        <w:autoSpaceDN w:val="0"/>
        <w:adjustRightInd w:val="0"/>
        <w:rPr>
          <w:rFonts w:cs="Arial"/>
          <w:szCs w:val="22"/>
          <w:lang w:eastAsia="en-GB" w:bidi="ar-SA"/>
        </w:rPr>
      </w:pPr>
      <w:r>
        <w:rPr>
          <w:rFonts w:cs="Arial"/>
          <w:color w:val="000000" w:themeColor="text1"/>
          <w:szCs w:val="22"/>
        </w:rPr>
        <w:t xml:space="preserve">Similarity searches were done for the </w:t>
      </w:r>
      <w:r w:rsidRPr="0030703E">
        <w:rPr>
          <w:rFonts w:cs="Arial"/>
          <w:i/>
          <w:color w:val="000000" w:themeColor="text1"/>
          <w:szCs w:val="22"/>
        </w:rPr>
        <w:t>Zm</w:t>
      </w:r>
      <w:r>
        <w:rPr>
          <w:rFonts w:cs="Arial"/>
          <w:color w:val="000000" w:themeColor="text1"/>
          <w:szCs w:val="22"/>
        </w:rPr>
        <w:t xml:space="preserve">PSY1 (full 410-amino acid sequence as shown in </w:t>
      </w:r>
      <w:r w:rsidRPr="00B275D4">
        <w:rPr>
          <w:rFonts w:cs="Arial"/>
          <w:color w:val="000000" w:themeColor="text1"/>
          <w:szCs w:val="22"/>
        </w:rPr>
        <w:t>Figure 8) and CRTI (492 amino acids as shown in Figure 9) proteins</w:t>
      </w:r>
      <w:r>
        <w:rPr>
          <w:rFonts w:cs="Arial"/>
          <w:color w:val="000000" w:themeColor="text1"/>
          <w:szCs w:val="22"/>
        </w:rPr>
        <w:t xml:space="preserve"> using the Fast Alignment Search Tool – All (FASTA) algorithm </w:t>
      </w:r>
      <w:r w:rsidRPr="0019094B">
        <w:rPr>
          <w:rFonts w:cs="Arial"/>
          <w:noProof/>
          <w:color w:val="000000" w:themeColor="text1"/>
          <w:szCs w:val="22"/>
        </w:rPr>
        <w:t>(Pearson and Lipman 1988)</w:t>
      </w:r>
      <w:r>
        <w:rPr>
          <w:rFonts w:cs="Arial"/>
          <w:color w:val="000000" w:themeColor="text1"/>
          <w:szCs w:val="22"/>
        </w:rPr>
        <w:t xml:space="preserve"> version 36.3.8c and BLOSUM50</w:t>
      </w:r>
      <w:r>
        <w:rPr>
          <w:rStyle w:val="FootnoteReference"/>
          <w:rFonts w:cs="Arial"/>
          <w:color w:val="000000" w:themeColor="text1"/>
          <w:szCs w:val="22"/>
        </w:rPr>
        <w:footnoteReference w:id="16"/>
      </w:r>
      <w:r>
        <w:rPr>
          <w:rFonts w:cs="Arial"/>
          <w:color w:val="000000" w:themeColor="text1"/>
          <w:szCs w:val="22"/>
        </w:rPr>
        <w:t xml:space="preserve"> scoring matrix against known protein sequences present in a toxin database created from </w:t>
      </w:r>
      <w:hyperlink r:id="rId42" w:history="1">
        <w:r w:rsidRPr="00EE1058">
          <w:rPr>
            <w:rStyle w:val="Hyperlink"/>
            <w:rFonts w:cs="Arial"/>
            <w:szCs w:val="22"/>
          </w:rPr>
          <w:t>UniProtKB</w:t>
        </w:r>
      </w:hyperlink>
      <w:r>
        <w:rPr>
          <w:rStyle w:val="FootnoteReference"/>
          <w:rFonts w:cs="Arial"/>
          <w:color w:val="000000" w:themeColor="text1"/>
          <w:szCs w:val="22"/>
        </w:rPr>
        <w:footnoteReference w:id="17"/>
      </w:r>
      <w:r>
        <w:rPr>
          <w:rFonts w:cs="Arial"/>
          <w:color w:val="000000" w:themeColor="text1"/>
          <w:szCs w:val="22"/>
        </w:rPr>
        <w:t xml:space="preserve"> (</w:t>
      </w:r>
      <w:r w:rsidRPr="00583F01">
        <w:rPr>
          <w:rFonts w:cs="Arial"/>
          <w:color w:val="000000" w:themeColor="text1"/>
          <w:szCs w:val="22"/>
        </w:rPr>
        <w:t xml:space="preserve">UniProt Knowledgebase). </w:t>
      </w:r>
      <w:r>
        <w:rPr>
          <w:rFonts w:cs="Arial"/>
          <w:color w:val="000000" w:themeColor="text1"/>
          <w:szCs w:val="22"/>
        </w:rPr>
        <w:t>At the time of analysis, t</w:t>
      </w:r>
      <w:r w:rsidRPr="00583F01">
        <w:rPr>
          <w:rFonts w:cs="Arial"/>
          <w:color w:val="000000" w:themeColor="text1"/>
          <w:szCs w:val="22"/>
        </w:rPr>
        <w:t xml:space="preserve">his database contained a total of 24,098 sequences. </w:t>
      </w:r>
      <w:r w:rsidRPr="00583F01">
        <w:rPr>
          <w:rFonts w:cs="Arial"/>
          <w:szCs w:val="22"/>
          <w:lang w:eastAsia="en-GB" w:bidi="ar-SA"/>
        </w:rPr>
        <w:t xml:space="preserve">An </w:t>
      </w:r>
      <w:r w:rsidRPr="00583F01">
        <w:rPr>
          <w:rFonts w:cs="Arial"/>
          <w:i/>
          <w:iCs/>
          <w:szCs w:val="22"/>
          <w:lang w:eastAsia="en-GB" w:bidi="ar-SA"/>
        </w:rPr>
        <w:t>E</w:t>
      </w:r>
      <w:r w:rsidRPr="00583F01">
        <w:rPr>
          <w:rFonts w:cs="Arial"/>
          <w:szCs w:val="22"/>
          <w:lang w:eastAsia="en-GB" w:bidi="ar-SA"/>
        </w:rPr>
        <w:t>-score</w:t>
      </w:r>
      <w:r>
        <w:rPr>
          <w:rStyle w:val="FootnoteReference"/>
          <w:rFonts w:cs="Arial"/>
          <w:szCs w:val="22"/>
          <w:lang w:eastAsia="en-GB" w:bidi="ar-SA"/>
        </w:rPr>
        <w:footnoteReference w:id="18"/>
      </w:r>
      <w:r w:rsidRPr="00583F01">
        <w:rPr>
          <w:rFonts w:cs="Arial"/>
          <w:szCs w:val="22"/>
          <w:lang w:eastAsia="en-GB" w:bidi="ar-SA"/>
        </w:rPr>
        <w:t xml:space="preserve"> acceptance criteria of 1 × 10</w:t>
      </w:r>
      <w:r w:rsidRPr="00583F01">
        <w:rPr>
          <w:rFonts w:cs="Arial"/>
          <w:szCs w:val="22"/>
          <w:vertAlign w:val="superscript"/>
          <w:lang w:eastAsia="en-GB" w:bidi="ar-SA"/>
        </w:rPr>
        <w:t>−5</w:t>
      </w:r>
      <w:r w:rsidRPr="00583F01">
        <w:rPr>
          <w:rFonts w:cs="Arial"/>
          <w:szCs w:val="22"/>
          <w:lang w:eastAsia="en-GB" w:bidi="ar-SA"/>
        </w:rPr>
        <w:t xml:space="preserve"> was used to identify sequences from the toxin database with potential for significant sequence similarity to the </w:t>
      </w:r>
      <w:r w:rsidRPr="00583F01">
        <w:rPr>
          <w:rFonts w:cs="Arial"/>
          <w:i/>
          <w:iCs/>
          <w:szCs w:val="22"/>
          <w:lang w:eastAsia="en-GB" w:bidi="ar-SA"/>
        </w:rPr>
        <w:t>Zm</w:t>
      </w:r>
      <w:r w:rsidRPr="00583F01">
        <w:rPr>
          <w:rFonts w:cs="Arial"/>
          <w:szCs w:val="22"/>
          <w:lang w:eastAsia="en-GB" w:bidi="ar-SA"/>
        </w:rPr>
        <w:t xml:space="preserve">PSY1 </w:t>
      </w:r>
      <w:r>
        <w:rPr>
          <w:rFonts w:cs="Arial"/>
          <w:szCs w:val="22"/>
          <w:lang w:eastAsia="en-GB" w:bidi="ar-SA"/>
        </w:rPr>
        <w:t xml:space="preserve">and CRTI </w:t>
      </w:r>
      <w:r w:rsidRPr="00583F01">
        <w:rPr>
          <w:rFonts w:cs="Arial"/>
          <w:szCs w:val="22"/>
          <w:lang w:eastAsia="en-GB" w:bidi="ar-SA"/>
        </w:rPr>
        <w:t>protein</w:t>
      </w:r>
      <w:r>
        <w:rPr>
          <w:rFonts w:cs="Arial"/>
          <w:szCs w:val="22"/>
          <w:lang w:eastAsia="en-GB" w:bidi="ar-SA"/>
        </w:rPr>
        <w:t>s</w:t>
      </w:r>
      <w:r w:rsidRPr="00583F01">
        <w:rPr>
          <w:rFonts w:cs="Arial"/>
          <w:szCs w:val="22"/>
          <w:lang w:eastAsia="en-GB" w:bidi="ar-SA"/>
        </w:rPr>
        <w:t>.</w:t>
      </w:r>
    </w:p>
    <w:p w14:paraId="20643B70" w14:textId="77777777" w:rsidR="00333AC0" w:rsidRDefault="00333AC0">
      <w:pPr>
        <w:widowControl/>
        <w:rPr>
          <w:rFonts w:cs="Arial"/>
          <w:color w:val="000000" w:themeColor="text1"/>
          <w:szCs w:val="22"/>
        </w:rPr>
      </w:pPr>
    </w:p>
    <w:p w14:paraId="20643B71" w14:textId="77777777" w:rsidR="00333AC0" w:rsidRPr="00B43AD0" w:rsidRDefault="00333AC0" w:rsidP="00011A05">
      <w:pPr>
        <w:widowControl/>
        <w:autoSpaceDE w:val="0"/>
        <w:autoSpaceDN w:val="0"/>
        <w:adjustRightInd w:val="0"/>
        <w:rPr>
          <w:rFonts w:cs="Arial"/>
          <w:szCs w:val="22"/>
          <w:lang w:eastAsia="en-GB" w:bidi="ar-SA"/>
        </w:rPr>
      </w:pPr>
      <w:r>
        <w:rPr>
          <w:rFonts w:ascii="CharterBT-Roman" w:hAnsi="CharterBT-Roman" w:cs="CharterBT-Roman"/>
          <w:szCs w:val="22"/>
          <w:lang w:eastAsia="en-GB" w:bidi="ar-SA"/>
        </w:rPr>
        <w:t xml:space="preserve">The toxin database searches using the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query sequence did not return any entries with an </w:t>
      </w:r>
      <w:r>
        <w:rPr>
          <w:rFonts w:ascii="CharterBT-Italic" w:hAnsi="CharterBT-Italic" w:cs="CharterBT-Italic"/>
          <w:i/>
          <w:iCs/>
          <w:szCs w:val="22"/>
          <w:lang w:eastAsia="en-GB" w:bidi="ar-SA"/>
        </w:rPr>
        <w:t>E</w:t>
      </w:r>
      <w:r>
        <w:rPr>
          <w:rFonts w:ascii="CharterBT-Roman" w:hAnsi="CharterBT-Roman" w:cs="CharterBT-Roman"/>
          <w:szCs w:val="22"/>
          <w:lang w:eastAsia="en-GB" w:bidi="ar-SA"/>
        </w:rPr>
        <w:t xml:space="preserve">-score less than </w:t>
      </w:r>
      <w:r>
        <w:rPr>
          <w:rFonts w:ascii="URWPalladioL-Roma" w:hAnsi="URWPalladioL-Roma" w:cs="URWPalladioL-Roma"/>
          <w:szCs w:val="22"/>
          <w:lang w:eastAsia="en-GB" w:bidi="ar-SA"/>
        </w:rPr>
        <w:t xml:space="preserve">1 </w:t>
      </w:r>
      <w:r>
        <w:rPr>
          <w:rFonts w:ascii="CMSY10" w:hAnsi="CMSY10" w:cs="CMSY10"/>
          <w:sz w:val="23"/>
          <w:szCs w:val="23"/>
          <w:lang w:eastAsia="en-GB" w:bidi="ar-SA"/>
        </w:rPr>
        <w:t xml:space="preserve">× </w:t>
      </w:r>
      <w:r>
        <w:rPr>
          <w:rFonts w:ascii="URWPalladioL-Roma" w:hAnsi="URWPalladioL-Roma" w:cs="URWPalladioL-Roma"/>
          <w:szCs w:val="22"/>
          <w:lang w:eastAsia="en-GB" w:bidi="ar-SA"/>
        </w:rPr>
        <w:t>10</w:t>
      </w:r>
      <w:r w:rsidRPr="00181D45">
        <w:rPr>
          <w:rFonts w:ascii="CMSY10" w:hAnsi="CMSY10" w:cs="CMSY10"/>
          <w:sz w:val="17"/>
          <w:szCs w:val="17"/>
          <w:vertAlign w:val="superscript"/>
          <w:lang w:eastAsia="en-GB" w:bidi="ar-SA"/>
        </w:rPr>
        <w:t>−</w:t>
      </w:r>
      <w:r w:rsidRPr="00181D45">
        <w:rPr>
          <w:rFonts w:ascii="URWPalladioL-Roma" w:hAnsi="URWPalladioL-Roma" w:cs="URWPalladioL-Roma"/>
          <w:sz w:val="16"/>
          <w:szCs w:val="16"/>
          <w:vertAlign w:val="superscript"/>
          <w:lang w:eastAsia="en-GB" w:bidi="ar-SA"/>
        </w:rPr>
        <w:t>5</w:t>
      </w:r>
      <w:r>
        <w:rPr>
          <w:rFonts w:cs="Arial"/>
          <w:szCs w:val="22"/>
          <w:lang w:eastAsia="en-GB" w:bidi="ar-SA"/>
        </w:rPr>
        <w:t xml:space="preserve"> i.e. </w:t>
      </w:r>
      <w:r w:rsidRPr="00B43AD0">
        <w:rPr>
          <w:rFonts w:cs="Arial"/>
          <w:i/>
          <w:szCs w:val="22"/>
          <w:lang w:eastAsia="en-GB" w:bidi="ar-SA"/>
        </w:rPr>
        <w:t>Zm</w:t>
      </w:r>
      <w:r w:rsidRPr="00B43AD0">
        <w:rPr>
          <w:rFonts w:cs="Arial"/>
          <w:szCs w:val="22"/>
          <w:lang w:eastAsia="en-GB" w:bidi="ar-SA"/>
        </w:rPr>
        <w:t>PSY1</w:t>
      </w:r>
      <w:r>
        <w:rPr>
          <w:rFonts w:cs="Arial"/>
          <w:szCs w:val="22"/>
          <w:lang w:eastAsia="en-GB" w:bidi="ar-SA"/>
        </w:rPr>
        <w:t xml:space="preserve"> does not have similarity with known toxins that are harmful to human health.</w:t>
      </w:r>
    </w:p>
    <w:p w14:paraId="20643B72" w14:textId="77777777" w:rsidR="00333AC0" w:rsidRDefault="00333AC0" w:rsidP="00011A05">
      <w:pPr>
        <w:widowControl/>
        <w:autoSpaceDE w:val="0"/>
        <w:autoSpaceDN w:val="0"/>
        <w:adjustRightInd w:val="0"/>
        <w:rPr>
          <w:rFonts w:ascii="URWPalladioL-Roma" w:hAnsi="URWPalladioL-Roma" w:cs="URWPalladioL-Roma"/>
          <w:sz w:val="16"/>
          <w:szCs w:val="16"/>
          <w:lang w:eastAsia="en-GB" w:bidi="ar-SA"/>
        </w:rPr>
      </w:pPr>
    </w:p>
    <w:p w14:paraId="20643B73"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The search using the CRTI query sequence returned three protein accessions from the toxin database with an </w:t>
      </w:r>
      <w:r>
        <w:rPr>
          <w:rFonts w:ascii="CharterBT-Italic" w:hAnsi="CharterBT-Italic" w:cs="CharterBT-Italic"/>
          <w:i/>
          <w:iCs/>
          <w:szCs w:val="22"/>
          <w:lang w:eastAsia="en-GB" w:bidi="ar-SA"/>
        </w:rPr>
        <w:t>E</w:t>
      </w:r>
      <w:r>
        <w:rPr>
          <w:rFonts w:ascii="CharterBT-Roman" w:hAnsi="CharterBT-Roman" w:cs="CharterBT-Roman"/>
          <w:szCs w:val="22"/>
          <w:lang w:eastAsia="en-GB" w:bidi="ar-SA"/>
        </w:rPr>
        <w:t xml:space="preserve">-score </w:t>
      </w:r>
      <w:r w:rsidRPr="006202D3">
        <w:rPr>
          <w:rFonts w:cs="Arial"/>
          <w:szCs w:val="22"/>
          <w:lang w:eastAsia="en-GB" w:bidi="ar-SA"/>
        </w:rPr>
        <w:t>less than 1 × 10</w:t>
      </w:r>
      <w:r w:rsidRPr="006202D3">
        <w:rPr>
          <w:rFonts w:cs="Arial"/>
          <w:szCs w:val="22"/>
          <w:vertAlign w:val="superscript"/>
          <w:lang w:eastAsia="en-GB" w:bidi="ar-SA"/>
        </w:rPr>
        <w:t>−5</w:t>
      </w:r>
      <w:r w:rsidRPr="006202D3">
        <w:rPr>
          <w:rFonts w:cs="Arial"/>
          <w:szCs w:val="22"/>
          <w:lang w:eastAsia="en-GB" w:bidi="ar-SA"/>
        </w:rPr>
        <w:t>. Th</w:t>
      </w:r>
      <w:r>
        <w:rPr>
          <w:rFonts w:cs="Arial"/>
          <w:szCs w:val="22"/>
          <w:lang w:eastAsia="en-GB" w:bidi="ar-SA"/>
        </w:rPr>
        <w:t>ese three alignments</w:t>
      </w:r>
      <w:r>
        <w:rPr>
          <w:rFonts w:ascii="CharterBT-Roman" w:hAnsi="CharterBT-Roman" w:cs="CharterBT-Roman"/>
          <w:szCs w:val="22"/>
          <w:lang w:eastAsia="en-GB" w:bidi="ar-SA"/>
        </w:rPr>
        <w:t xml:space="preserve"> were to the N-terminal region of L-amino acid oxidase </w:t>
      </w:r>
      <w:r w:rsidRPr="003C3A66">
        <w:rPr>
          <w:rFonts w:ascii="CharterBT-Roman" w:hAnsi="CharterBT-Roman" w:cs="CharterBT-Roman"/>
          <w:szCs w:val="22"/>
          <w:lang w:eastAsia="en-GB" w:bidi="ar-SA"/>
        </w:rPr>
        <w:t>enzymes (LAAOs) from three species of venomous snakes. Specifically the sequence similarity was limited to a portion of the flavin adenine dinucleotide (FAD) binding domain. In assessing the potential</w:t>
      </w:r>
      <w:r>
        <w:rPr>
          <w:rFonts w:ascii="CharterBT-Roman" w:hAnsi="CharterBT-Roman" w:cs="CharterBT-Roman"/>
          <w:szCs w:val="22"/>
          <w:lang w:eastAsia="en-GB" w:bidi="ar-SA"/>
        </w:rPr>
        <w:t xml:space="preserve"> toxicity of CRTI, a number of points are relevant:</w:t>
      </w:r>
    </w:p>
    <w:p w14:paraId="20643B74"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75" w14:textId="77777777" w:rsidR="00333AC0" w:rsidRPr="008005F5" w:rsidRDefault="00333AC0" w:rsidP="0022311E">
      <w:pPr>
        <w:pStyle w:val="ListParagraph"/>
        <w:widowControl/>
        <w:numPr>
          <w:ilvl w:val="0"/>
          <w:numId w:val="16"/>
        </w:numPr>
        <w:autoSpaceDE w:val="0"/>
        <w:autoSpaceDN w:val="0"/>
        <w:adjustRightInd w:val="0"/>
        <w:ind w:left="567" w:hanging="567"/>
        <w:rPr>
          <w:rFonts w:ascii="CharterBT-Roman" w:hAnsi="CharterBT-Roman" w:cs="CharterBT-Roman"/>
          <w:szCs w:val="22"/>
          <w:lang w:eastAsia="en-GB" w:bidi="ar-SA"/>
        </w:rPr>
      </w:pPr>
      <w:r w:rsidRPr="008005F5">
        <w:rPr>
          <w:rFonts w:ascii="CharterBT-Roman" w:hAnsi="CharterBT-Roman" w:cs="CharterBT-Roman"/>
          <w:szCs w:val="22"/>
          <w:lang w:eastAsia="en-GB" w:bidi="ar-SA"/>
        </w:rPr>
        <w:t>Snake venom LAAOs are not toxic via the oral exposure route</w:t>
      </w:r>
    </w:p>
    <w:p w14:paraId="20643B76" w14:textId="77777777" w:rsidR="00333AC0" w:rsidRPr="008005F5" w:rsidRDefault="00333AC0" w:rsidP="0022311E">
      <w:pPr>
        <w:pStyle w:val="ListParagraph"/>
        <w:widowControl/>
        <w:numPr>
          <w:ilvl w:val="0"/>
          <w:numId w:val="16"/>
        </w:numPr>
        <w:autoSpaceDE w:val="0"/>
        <w:autoSpaceDN w:val="0"/>
        <w:adjustRightInd w:val="0"/>
        <w:ind w:left="567" w:hanging="567"/>
        <w:rPr>
          <w:rFonts w:ascii="CharterBT-Roman" w:hAnsi="CharterBT-Roman" w:cs="CharterBT-Roman"/>
          <w:szCs w:val="22"/>
          <w:lang w:eastAsia="en-GB" w:bidi="ar-SA"/>
        </w:rPr>
      </w:pPr>
      <w:r w:rsidRPr="008005F5">
        <w:rPr>
          <w:rFonts w:ascii="CharterBT-Roman" w:hAnsi="CharterBT-Roman" w:cs="CharterBT-Roman"/>
          <w:szCs w:val="22"/>
          <w:lang w:eastAsia="en-GB" w:bidi="ar-SA"/>
        </w:rPr>
        <w:t>LAAOs are widely distributed in many species that are not considered to be sources of toxins</w:t>
      </w:r>
    </w:p>
    <w:p w14:paraId="20643B77" w14:textId="77777777" w:rsidR="00333AC0" w:rsidRPr="00B275D4" w:rsidRDefault="00333AC0" w:rsidP="0022311E">
      <w:pPr>
        <w:pStyle w:val="ListParagraph"/>
        <w:widowControl/>
        <w:numPr>
          <w:ilvl w:val="0"/>
          <w:numId w:val="16"/>
        </w:numPr>
        <w:autoSpaceDE w:val="0"/>
        <w:autoSpaceDN w:val="0"/>
        <w:adjustRightInd w:val="0"/>
        <w:ind w:left="567" w:hanging="567"/>
        <w:rPr>
          <w:rFonts w:ascii="CharterBT-Roman" w:hAnsi="CharterBT-Roman" w:cs="CharterBT-Roman"/>
          <w:szCs w:val="22"/>
          <w:lang w:eastAsia="en-GB" w:bidi="ar-SA"/>
        </w:rPr>
      </w:pPr>
      <w:r w:rsidRPr="008005F5">
        <w:rPr>
          <w:rFonts w:ascii="CharterBT-Roman" w:hAnsi="CharterBT-Roman" w:cs="CharterBT-Roman"/>
          <w:szCs w:val="22"/>
          <w:lang w:eastAsia="en-GB" w:bidi="ar-SA"/>
        </w:rPr>
        <w:t xml:space="preserve">A bioinformatics search using the endogenous rice </w:t>
      </w:r>
      <w:r>
        <w:rPr>
          <w:rFonts w:ascii="CharterBT-Roman" w:hAnsi="CharterBT-Roman" w:cs="CharterBT-Roman"/>
          <w:szCs w:val="22"/>
          <w:lang w:eastAsia="en-GB" w:bidi="ar-SA"/>
        </w:rPr>
        <w:t>phytoene</w:t>
      </w:r>
      <w:r w:rsidRPr="008005F5">
        <w:rPr>
          <w:rFonts w:ascii="CharterBT-Roman" w:hAnsi="CharterBT-Roman" w:cs="CharterBT-Roman"/>
          <w:szCs w:val="22"/>
          <w:lang w:eastAsia="en-GB" w:bidi="ar-SA"/>
        </w:rPr>
        <w:t xml:space="preserve"> desaturase </w:t>
      </w:r>
      <w:r>
        <w:rPr>
          <w:rFonts w:ascii="CharterBT-Roman" w:hAnsi="CharterBT-Roman" w:cs="CharterBT-Roman"/>
          <w:szCs w:val="22"/>
          <w:lang w:eastAsia="en-GB" w:bidi="ar-SA"/>
        </w:rPr>
        <w:t xml:space="preserve">(see discussion </w:t>
      </w:r>
      <w:r w:rsidRPr="00B275D4">
        <w:rPr>
          <w:rFonts w:ascii="CharterBT-Roman" w:hAnsi="CharterBT-Roman" w:cs="CharterBT-Roman"/>
          <w:szCs w:val="22"/>
          <w:lang w:eastAsia="en-GB" w:bidi="ar-SA"/>
        </w:rPr>
        <w:t>in Section 3.4.1.1 and Figure 6) also returned matches to LAAOs that aligned with sequences in the N-terminal region.</w:t>
      </w:r>
    </w:p>
    <w:p w14:paraId="20643B78" w14:textId="77777777" w:rsidR="00333AC0" w:rsidRPr="00B275D4" w:rsidRDefault="00333AC0" w:rsidP="0022311E">
      <w:pPr>
        <w:pStyle w:val="ListParagraph"/>
        <w:widowControl/>
        <w:numPr>
          <w:ilvl w:val="0"/>
          <w:numId w:val="16"/>
        </w:numPr>
        <w:autoSpaceDE w:val="0"/>
        <w:autoSpaceDN w:val="0"/>
        <w:adjustRightInd w:val="0"/>
        <w:ind w:left="567" w:hanging="567"/>
        <w:rPr>
          <w:rFonts w:cs="Arial"/>
          <w:color w:val="000000" w:themeColor="text1"/>
          <w:szCs w:val="22"/>
        </w:rPr>
      </w:pPr>
      <w:r w:rsidRPr="00B275D4">
        <w:rPr>
          <w:rFonts w:ascii="CharterBT-Roman" w:hAnsi="CharterBT-Roman" w:cs="CharterBT-Roman"/>
          <w:szCs w:val="22"/>
          <w:lang w:eastAsia="en-GB" w:bidi="ar-SA"/>
        </w:rPr>
        <w:t xml:space="preserve">The N-terminal region showing sequence similarity is a common feature of other flavoenzymes such as oxidoreductases, protoporphyrinogen oxidases and other phytoene desaturases which, in themselves, are not toxins. </w:t>
      </w:r>
    </w:p>
    <w:p w14:paraId="20643B79" w14:textId="77777777" w:rsidR="00333AC0" w:rsidRPr="00B275D4" w:rsidRDefault="00333AC0" w:rsidP="0022311E">
      <w:pPr>
        <w:pStyle w:val="ListParagraph"/>
        <w:widowControl/>
        <w:numPr>
          <w:ilvl w:val="0"/>
          <w:numId w:val="16"/>
        </w:numPr>
        <w:autoSpaceDE w:val="0"/>
        <w:autoSpaceDN w:val="0"/>
        <w:adjustRightInd w:val="0"/>
        <w:ind w:left="567" w:hanging="567"/>
        <w:rPr>
          <w:rFonts w:cs="Arial"/>
          <w:color w:val="000000" w:themeColor="text1"/>
          <w:szCs w:val="22"/>
        </w:rPr>
      </w:pPr>
      <w:r w:rsidRPr="00B275D4">
        <w:rPr>
          <w:rFonts w:cs="Arial"/>
          <w:szCs w:val="22"/>
          <w:lang w:eastAsia="en-GB" w:bidi="ar-SA"/>
        </w:rPr>
        <w:t>The FAD-binding domain is only one of the three domains required for a functional catalytic site of an LAAO</w:t>
      </w:r>
      <w:r w:rsidRPr="00B275D4">
        <w:rPr>
          <w:rFonts w:eastAsia="Gulliver" w:cs="Arial"/>
          <w:szCs w:val="22"/>
          <w:lang w:eastAsia="en-GB" w:bidi="ar-SA"/>
        </w:rPr>
        <w:t xml:space="preserve"> </w:t>
      </w:r>
      <w:r w:rsidRPr="00B275D4">
        <w:rPr>
          <w:rFonts w:eastAsia="Gulliver" w:cs="Arial"/>
          <w:noProof/>
          <w:szCs w:val="22"/>
          <w:lang w:eastAsia="en-GB" w:bidi="ar-SA"/>
        </w:rPr>
        <w:t>(Mitra and Bhattacharyya 2013)</w:t>
      </w:r>
      <w:r w:rsidRPr="00B275D4">
        <w:rPr>
          <w:rFonts w:eastAsia="Gulliver" w:cs="Arial"/>
          <w:szCs w:val="22"/>
          <w:lang w:eastAsia="en-GB" w:bidi="ar-SA"/>
        </w:rPr>
        <w:t>.</w:t>
      </w:r>
    </w:p>
    <w:p w14:paraId="20643B7A" w14:textId="77777777" w:rsidR="00333AC0" w:rsidRPr="00B275D4" w:rsidRDefault="00333AC0" w:rsidP="00011A05">
      <w:pPr>
        <w:pStyle w:val="ListParagraph"/>
        <w:widowControl/>
        <w:autoSpaceDE w:val="0"/>
        <w:autoSpaceDN w:val="0"/>
        <w:adjustRightInd w:val="0"/>
        <w:ind w:left="567"/>
        <w:rPr>
          <w:rFonts w:cs="Arial"/>
          <w:color w:val="000000" w:themeColor="text1"/>
          <w:szCs w:val="22"/>
        </w:rPr>
      </w:pPr>
    </w:p>
    <w:p w14:paraId="20643B7B" w14:textId="77777777" w:rsidR="00333AC0" w:rsidRPr="00B275D4" w:rsidRDefault="00333AC0">
      <w:pPr>
        <w:widowControl/>
        <w:rPr>
          <w:rFonts w:cs="Arial"/>
          <w:color w:val="000000" w:themeColor="text1"/>
          <w:szCs w:val="22"/>
        </w:rPr>
      </w:pPr>
      <w:r w:rsidRPr="00B275D4">
        <w:rPr>
          <w:rFonts w:cs="Arial"/>
          <w:color w:val="000000" w:themeColor="text1"/>
          <w:szCs w:val="22"/>
        </w:rPr>
        <w:t>The conclusion therefore is that the sequence homology flagged by the bioinformatics search does not lead to a toxicity concern for the CRTI protein.</w:t>
      </w:r>
    </w:p>
    <w:p w14:paraId="20643B7C" w14:textId="77777777" w:rsidR="00333AC0" w:rsidRPr="00B275D4" w:rsidRDefault="00333AC0">
      <w:pPr>
        <w:widowControl/>
        <w:rPr>
          <w:rFonts w:cs="Arial"/>
          <w:color w:val="000000" w:themeColor="text1"/>
          <w:szCs w:val="22"/>
        </w:rPr>
      </w:pPr>
    </w:p>
    <w:p w14:paraId="20643B7D" w14:textId="77777777" w:rsidR="00333AC0" w:rsidRPr="00B275D4" w:rsidRDefault="00333AC0">
      <w:pPr>
        <w:widowControl/>
        <w:rPr>
          <w:rFonts w:cs="Arial"/>
          <w:i/>
          <w:color w:val="000000" w:themeColor="text1"/>
          <w:szCs w:val="22"/>
        </w:rPr>
      </w:pPr>
      <w:r w:rsidRPr="00B275D4">
        <w:rPr>
          <w:rFonts w:cs="Arial"/>
          <w:i/>
          <w:color w:val="000000" w:themeColor="text1"/>
          <w:szCs w:val="22"/>
        </w:rPr>
        <w:t>Heat stability</w:t>
      </w:r>
    </w:p>
    <w:p w14:paraId="20643B7E" w14:textId="77777777" w:rsidR="00333AC0" w:rsidRPr="00B275D4" w:rsidRDefault="00333AC0">
      <w:pPr>
        <w:widowControl/>
        <w:rPr>
          <w:rFonts w:cs="Arial"/>
          <w:color w:val="000000" w:themeColor="text1"/>
          <w:szCs w:val="22"/>
        </w:rPr>
      </w:pPr>
    </w:p>
    <w:p w14:paraId="20643B7F" w14:textId="77777777" w:rsidR="00333AC0" w:rsidRPr="00B275D4" w:rsidRDefault="00333AC0" w:rsidP="00011A05">
      <w:pPr>
        <w:rPr>
          <w:rFonts w:cs="Arial"/>
          <w:color w:val="000000" w:themeColor="text1"/>
          <w:szCs w:val="22"/>
        </w:rPr>
      </w:pPr>
      <w:r w:rsidRPr="00B275D4">
        <w:rPr>
          <w:rFonts w:cs="Arial"/>
          <w:color w:val="000000" w:themeColor="text1"/>
          <w:szCs w:val="22"/>
        </w:rPr>
        <w:t xml:space="preserve">The thermolability of a protein provides an indication of the stability of the protein under cooking/processing conditions. </w:t>
      </w:r>
    </w:p>
    <w:p w14:paraId="20643B80" w14:textId="77777777" w:rsidR="00333AC0" w:rsidRPr="00B275D4" w:rsidRDefault="00333AC0">
      <w:pPr>
        <w:widowControl/>
        <w:rPr>
          <w:rFonts w:cs="Arial"/>
          <w:color w:val="000000" w:themeColor="text1"/>
          <w:szCs w:val="22"/>
        </w:rPr>
      </w:pPr>
    </w:p>
    <w:p w14:paraId="20643B81" w14:textId="77777777" w:rsidR="00333AC0" w:rsidRPr="00B275D4" w:rsidRDefault="00333AC0">
      <w:pPr>
        <w:widowControl/>
        <w:rPr>
          <w:rFonts w:cs="Arial"/>
          <w:color w:val="000000" w:themeColor="text1"/>
          <w:szCs w:val="22"/>
        </w:rPr>
      </w:pPr>
      <w:r w:rsidRPr="00B275D4">
        <w:rPr>
          <w:rFonts w:cs="Arial"/>
          <w:color w:val="000000" w:themeColor="text1"/>
          <w:szCs w:val="22"/>
        </w:rPr>
        <w:t>For both fusion proteins, heat stability was determined by measuring enzymatic activity (as described in Section 4.1.4.1) over a temperature range between 30</w:t>
      </w:r>
      <w:r w:rsidRPr="00B275D4">
        <w:rPr>
          <w:rFonts w:cs="Arial"/>
          <w:color w:val="000000" w:themeColor="text1"/>
          <w:szCs w:val="22"/>
          <w:vertAlign w:val="superscript"/>
        </w:rPr>
        <w:t>o</w:t>
      </w:r>
      <w:r w:rsidRPr="00B275D4">
        <w:rPr>
          <w:rFonts w:cs="Arial"/>
          <w:color w:val="000000" w:themeColor="text1"/>
          <w:szCs w:val="22"/>
        </w:rPr>
        <w:t xml:space="preserve"> C – 65</w:t>
      </w:r>
      <w:r w:rsidRPr="00B275D4">
        <w:rPr>
          <w:rFonts w:cs="Arial"/>
          <w:color w:val="000000" w:themeColor="text1"/>
          <w:szCs w:val="22"/>
          <w:vertAlign w:val="superscript"/>
        </w:rPr>
        <w:t>o</w:t>
      </w:r>
      <w:r w:rsidRPr="00B275D4">
        <w:rPr>
          <w:rFonts w:cs="Arial"/>
          <w:color w:val="000000" w:themeColor="text1"/>
          <w:szCs w:val="22"/>
        </w:rPr>
        <w:t xml:space="preserve"> C imposed for 15 minutes prior to addition of the enzyme to the reaction mixture. The purified enzyme preparations used in the analysis were both derived from the microbially-expressed proteins characterised in Section 4.1.4.1.</w:t>
      </w:r>
    </w:p>
    <w:p w14:paraId="20643B82" w14:textId="77777777" w:rsidR="00333AC0" w:rsidRPr="00B275D4" w:rsidRDefault="00333AC0">
      <w:pPr>
        <w:widowControl/>
        <w:rPr>
          <w:rFonts w:cs="Arial"/>
          <w:color w:val="000000" w:themeColor="text1"/>
          <w:szCs w:val="22"/>
        </w:rPr>
      </w:pPr>
    </w:p>
    <w:p w14:paraId="20643B83" w14:textId="77777777" w:rsidR="00333AC0" w:rsidRPr="00B275D4" w:rsidRDefault="00333AC0" w:rsidP="00011A05">
      <w:pPr>
        <w:widowControl/>
        <w:autoSpaceDE w:val="0"/>
        <w:autoSpaceDN w:val="0"/>
        <w:adjustRightInd w:val="0"/>
        <w:rPr>
          <w:rFonts w:cs="Arial"/>
          <w:szCs w:val="22"/>
          <w:lang w:eastAsia="en-GB" w:bidi="ar-SA"/>
        </w:rPr>
      </w:pPr>
      <w:r w:rsidRPr="00B275D4">
        <w:rPr>
          <w:rFonts w:cs="Arial"/>
          <w:color w:val="000000" w:themeColor="text1"/>
          <w:szCs w:val="22"/>
        </w:rPr>
        <w:t xml:space="preserve">For </w:t>
      </w:r>
      <w:r w:rsidRPr="00B275D4">
        <w:rPr>
          <w:rFonts w:cs="Arial"/>
          <w:i/>
          <w:color w:val="000000" w:themeColor="text1"/>
          <w:szCs w:val="22"/>
        </w:rPr>
        <w:t>Zm</w:t>
      </w:r>
      <w:r w:rsidRPr="00B275D4">
        <w:rPr>
          <w:rFonts w:cs="Arial"/>
          <w:color w:val="000000" w:themeColor="text1"/>
          <w:szCs w:val="22"/>
        </w:rPr>
        <w:t>PSY1, activity at 30</w:t>
      </w:r>
      <w:r w:rsidRPr="00B275D4">
        <w:rPr>
          <w:rFonts w:cs="Arial"/>
          <w:color w:val="000000" w:themeColor="text1"/>
          <w:szCs w:val="22"/>
          <w:vertAlign w:val="superscript"/>
        </w:rPr>
        <w:t>o</w:t>
      </w:r>
      <w:r w:rsidRPr="00B275D4">
        <w:rPr>
          <w:rFonts w:cs="Arial"/>
          <w:color w:val="000000" w:themeColor="text1"/>
          <w:szCs w:val="22"/>
        </w:rPr>
        <w:t xml:space="preserve"> C was </w:t>
      </w:r>
      <w:r w:rsidRPr="00B275D4">
        <w:rPr>
          <w:rFonts w:cs="Arial"/>
          <w:i/>
          <w:iCs/>
          <w:szCs w:val="22"/>
          <w:lang w:eastAsia="en-GB" w:bidi="ar-SA"/>
        </w:rPr>
        <w:t>ca</w:t>
      </w:r>
      <w:r w:rsidRPr="00B275D4">
        <w:rPr>
          <w:rFonts w:cs="Arial"/>
          <w:szCs w:val="22"/>
          <w:lang w:eastAsia="en-GB" w:bidi="ar-SA"/>
        </w:rPr>
        <w:t>. 28.4 pmol μg−1 min−1 under the assay conditions used.</w:t>
      </w:r>
      <w:r w:rsidRPr="00B275D4">
        <w:rPr>
          <w:rFonts w:cs="Arial"/>
          <w:color w:val="000000" w:themeColor="text1"/>
          <w:szCs w:val="22"/>
        </w:rPr>
        <w:t xml:space="preserve"> </w:t>
      </w:r>
      <w:r w:rsidRPr="00B275D4">
        <w:rPr>
          <w:rFonts w:cs="Arial"/>
          <w:szCs w:val="22"/>
          <w:lang w:eastAsia="en-GB" w:bidi="ar-SA"/>
        </w:rPr>
        <w:t xml:space="preserve">There was 50% loss of activity following pre-incubation at </w:t>
      </w:r>
      <w:r w:rsidRPr="00B275D4">
        <w:rPr>
          <w:rFonts w:cs="Arial"/>
          <w:i/>
          <w:iCs/>
          <w:szCs w:val="22"/>
          <w:lang w:eastAsia="en-GB" w:bidi="ar-SA"/>
        </w:rPr>
        <w:t>ca</w:t>
      </w:r>
      <w:r w:rsidRPr="00B275D4">
        <w:rPr>
          <w:rFonts w:cs="Arial"/>
          <w:szCs w:val="22"/>
          <w:lang w:eastAsia="en-GB" w:bidi="ar-SA"/>
        </w:rPr>
        <w:t>. 42°C for 15 minutes and complete loss of activity following pre-incubation at 50°C for 15 minutes.</w:t>
      </w:r>
    </w:p>
    <w:p w14:paraId="20643B84" w14:textId="77777777" w:rsidR="00333AC0" w:rsidRPr="00B275D4" w:rsidRDefault="00333AC0" w:rsidP="00011A05">
      <w:pPr>
        <w:widowControl/>
        <w:rPr>
          <w:rFonts w:cs="Arial"/>
          <w:szCs w:val="22"/>
          <w:lang w:eastAsia="en-GB" w:bidi="ar-SA"/>
        </w:rPr>
      </w:pPr>
    </w:p>
    <w:p w14:paraId="20643B85" w14:textId="77777777" w:rsidR="00333AC0" w:rsidRPr="006B4068" w:rsidRDefault="00333AC0" w:rsidP="00011A05">
      <w:pPr>
        <w:widowControl/>
        <w:autoSpaceDE w:val="0"/>
        <w:autoSpaceDN w:val="0"/>
        <w:adjustRightInd w:val="0"/>
        <w:rPr>
          <w:rFonts w:cs="Arial"/>
          <w:szCs w:val="22"/>
          <w:lang w:eastAsia="en-GB" w:bidi="ar-SA"/>
        </w:rPr>
      </w:pPr>
      <w:r w:rsidRPr="00B275D4">
        <w:rPr>
          <w:rFonts w:cs="Arial"/>
          <w:szCs w:val="22"/>
          <w:lang w:eastAsia="en-GB" w:bidi="ar-SA"/>
        </w:rPr>
        <w:t xml:space="preserve">For CRTI, activity at </w:t>
      </w:r>
      <w:r w:rsidRPr="00B275D4">
        <w:rPr>
          <w:rFonts w:cs="Arial"/>
          <w:color w:val="000000" w:themeColor="text1"/>
          <w:szCs w:val="22"/>
        </w:rPr>
        <w:t>30</w:t>
      </w:r>
      <w:r w:rsidRPr="00B275D4">
        <w:rPr>
          <w:rFonts w:cs="Arial"/>
          <w:color w:val="000000" w:themeColor="text1"/>
          <w:szCs w:val="22"/>
          <w:vertAlign w:val="superscript"/>
        </w:rPr>
        <w:t>o</w:t>
      </w:r>
      <w:r w:rsidRPr="00B275D4">
        <w:rPr>
          <w:rFonts w:cs="Arial"/>
          <w:color w:val="000000" w:themeColor="text1"/>
          <w:szCs w:val="22"/>
        </w:rPr>
        <w:t xml:space="preserve"> C was </w:t>
      </w:r>
      <w:r w:rsidRPr="00B275D4">
        <w:rPr>
          <w:rFonts w:cs="Arial"/>
          <w:i/>
          <w:iCs/>
          <w:szCs w:val="22"/>
          <w:lang w:eastAsia="en-GB" w:bidi="ar-SA"/>
        </w:rPr>
        <w:t>ca</w:t>
      </w:r>
      <w:r w:rsidRPr="00B275D4">
        <w:rPr>
          <w:rFonts w:cs="Arial"/>
          <w:szCs w:val="22"/>
          <w:lang w:eastAsia="en-GB" w:bidi="ar-SA"/>
        </w:rPr>
        <w:t>. 5.4 pmol μg−1 min−1 under the assay conditions used. There was 50% loss of activity when pre</w:t>
      </w:r>
      <w:r w:rsidRPr="006B4068">
        <w:rPr>
          <w:rFonts w:cs="Arial"/>
          <w:szCs w:val="22"/>
          <w:lang w:eastAsia="en-GB" w:bidi="ar-SA"/>
        </w:rPr>
        <w:t xml:space="preserve">-incubated at </w:t>
      </w:r>
      <w:r w:rsidRPr="006B4068">
        <w:rPr>
          <w:rFonts w:cs="Arial"/>
          <w:i/>
          <w:iCs/>
          <w:szCs w:val="22"/>
          <w:lang w:eastAsia="en-GB" w:bidi="ar-SA"/>
        </w:rPr>
        <w:t>ca</w:t>
      </w:r>
      <w:r w:rsidRPr="006B4068">
        <w:rPr>
          <w:rFonts w:cs="Arial"/>
          <w:szCs w:val="22"/>
          <w:lang w:eastAsia="en-GB" w:bidi="ar-SA"/>
        </w:rPr>
        <w:t>. 51°C f</w:t>
      </w:r>
      <w:r>
        <w:rPr>
          <w:rFonts w:cs="Arial"/>
          <w:szCs w:val="22"/>
          <w:lang w:eastAsia="en-GB" w:bidi="ar-SA"/>
        </w:rPr>
        <w:t>or 15 minutes and</w:t>
      </w:r>
      <w:r w:rsidRPr="006B4068">
        <w:rPr>
          <w:rFonts w:cs="Arial"/>
          <w:szCs w:val="22"/>
          <w:lang w:eastAsia="en-GB" w:bidi="ar-SA"/>
        </w:rPr>
        <w:t xml:space="preserve"> complete inactivation following pre-incubation at 55°C for 15 minutes.</w:t>
      </w:r>
    </w:p>
    <w:p w14:paraId="20643B86" w14:textId="77777777" w:rsidR="00333AC0" w:rsidRPr="00F946BC" w:rsidRDefault="00333AC0" w:rsidP="00011A05">
      <w:pPr>
        <w:widowControl/>
        <w:rPr>
          <w:rFonts w:cs="Arial"/>
          <w:szCs w:val="22"/>
          <w:lang w:eastAsia="en-GB" w:bidi="ar-SA"/>
        </w:rPr>
      </w:pPr>
    </w:p>
    <w:p w14:paraId="20643B87"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The temperatures required to completely inactivate the </w:t>
      </w:r>
      <w:r>
        <w:rPr>
          <w:rFonts w:ascii="CharterBT-Italic" w:hAnsi="CharterBT-Italic" w:cs="CharterBT-Italic"/>
          <w:i/>
          <w:iCs/>
          <w:szCs w:val="22"/>
          <w:lang w:eastAsia="en-GB" w:bidi="ar-SA"/>
        </w:rPr>
        <w:t>Zm</w:t>
      </w:r>
      <w:r>
        <w:rPr>
          <w:rFonts w:ascii="CharterBT-Roman" w:hAnsi="CharterBT-Roman" w:cs="CharterBT-Roman"/>
          <w:szCs w:val="22"/>
          <w:lang w:eastAsia="en-GB" w:bidi="ar-SA"/>
        </w:rPr>
        <w:t>PSY1 and CRTI enzymes are significantly lower than temperatures normally employed during cooking or processing of rice.</w:t>
      </w:r>
    </w:p>
    <w:p w14:paraId="20643B88" w14:textId="77777777" w:rsidR="00333AC0" w:rsidRPr="006B4068" w:rsidRDefault="00333AC0" w:rsidP="00011A05">
      <w:pPr>
        <w:widowControl/>
        <w:autoSpaceDE w:val="0"/>
        <w:autoSpaceDN w:val="0"/>
        <w:adjustRightInd w:val="0"/>
        <w:rPr>
          <w:rFonts w:ascii="CharterBT-Roman" w:hAnsi="CharterBT-Roman" w:cs="CharterBT-Roman"/>
          <w:i/>
          <w:szCs w:val="22"/>
          <w:lang w:eastAsia="en-GB" w:bidi="ar-SA"/>
        </w:rPr>
      </w:pPr>
      <w:r>
        <w:rPr>
          <w:rFonts w:ascii="CharterBT-Roman" w:hAnsi="CharterBT-Roman" w:cs="CharterBT-Roman"/>
          <w:i/>
          <w:szCs w:val="22"/>
          <w:lang w:eastAsia="en-GB" w:bidi="ar-SA"/>
        </w:rPr>
        <w:t>Acute oral toxicity</w:t>
      </w:r>
    </w:p>
    <w:p w14:paraId="20643B89"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8A" w14:textId="77777777" w:rsidR="00333AC0" w:rsidRDefault="00333AC0" w:rsidP="00011A05">
      <w:pPr>
        <w:autoSpaceDE w:val="0"/>
        <w:autoSpaceDN w:val="0"/>
        <w:adjustRightInd w:val="0"/>
        <w:rPr>
          <w:rFonts w:cs="Arial"/>
          <w:color w:val="000000" w:themeColor="text1"/>
          <w:szCs w:val="22"/>
        </w:rPr>
      </w:pPr>
      <w:r>
        <w:rPr>
          <w:rFonts w:cs="Arial"/>
          <w:color w:val="000000" w:themeColor="text1"/>
          <w:szCs w:val="22"/>
        </w:rPr>
        <w:t>An acute oral toxicity study</w:t>
      </w:r>
      <w:r w:rsidRPr="00E92897">
        <w:rPr>
          <w:rFonts w:cs="Arial"/>
          <w:color w:val="000000" w:themeColor="text1"/>
          <w:szCs w:val="22"/>
        </w:rPr>
        <w:t xml:space="preserve"> </w:t>
      </w:r>
      <w:r>
        <w:rPr>
          <w:rFonts w:cs="Arial"/>
          <w:color w:val="000000" w:themeColor="text1"/>
          <w:szCs w:val="22"/>
        </w:rPr>
        <w:t>may</w:t>
      </w:r>
      <w:r w:rsidRPr="00E92897">
        <w:rPr>
          <w:rFonts w:cs="Arial"/>
          <w:color w:val="000000" w:themeColor="text1"/>
          <w:szCs w:val="22"/>
        </w:rPr>
        <w:t xml:space="preserve"> provide additional reassurance of safety if the results of the biochemical,</w:t>
      </w:r>
      <w:r w:rsidRPr="00D42C6B">
        <w:rPr>
          <w:rFonts w:cs="Arial"/>
          <w:color w:val="000000" w:themeColor="text1"/>
          <w:szCs w:val="22"/>
        </w:rPr>
        <w:t xml:space="preserve"> bioinformatic, digestibility or stability studies indicate a reason to further investigate the potential toxicity </w:t>
      </w:r>
      <w:r w:rsidRPr="00D42C6B">
        <w:rPr>
          <w:rFonts w:cs="Arial"/>
          <w:i/>
          <w:color w:val="000000" w:themeColor="text1"/>
          <w:szCs w:val="22"/>
        </w:rPr>
        <w:t>in vivo</w:t>
      </w:r>
      <w:r w:rsidRPr="00D42C6B">
        <w:rPr>
          <w:rFonts w:cs="Arial"/>
          <w:color w:val="000000" w:themeColor="text1"/>
          <w:szCs w:val="22"/>
        </w:rPr>
        <w:t xml:space="preserve">. </w:t>
      </w:r>
    </w:p>
    <w:p w14:paraId="20643B8B"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8C"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Since no potential hazards of </w:t>
      </w:r>
      <w:r w:rsidRPr="002B3767">
        <w:rPr>
          <w:rFonts w:ascii="CharterBT-Roman" w:hAnsi="CharterBT-Roman" w:cs="CharterBT-Roman"/>
          <w:i/>
          <w:szCs w:val="22"/>
          <w:lang w:eastAsia="en-GB" w:bidi="ar-SA"/>
        </w:rPr>
        <w:t>Zm</w:t>
      </w:r>
      <w:r>
        <w:rPr>
          <w:rFonts w:ascii="CharterBT-Roman" w:hAnsi="CharterBT-Roman" w:cs="CharterBT-Roman"/>
          <w:szCs w:val="22"/>
          <w:lang w:eastAsia="en-GB" w:bidi="ar-SA"/>
        </w:rPr>
        <w:t>PSY1 were identified through the other studies described in this Section, further hazard characterisation of this protein by animal toxicity testing was not necessary.</w:t>
      </w:r>
    </w:p>
    <w:p w14:paraId="20643B8D" w14:textId="77777777" w:rsidR="00333AC0" w:rsidRDefault="00333AC0" w:rsidP="00011A05">
      <w:pPr>
        <w:widowControl/>
        <w:autoSpaceDE w:val="0"/>
        <w:autoSpaceDN w:val="0"/>
        <w:adjustRightInd w:val="0"/>
        <w:rPr>
          <w:rFonts w:ascii="CharterBT-Roman" w:hAnsi="CharterBT-Roman" w:cs="CharterBT-Roman"/>
          <w:szCs w:val="22"/>
          <w:lang w:eastAsia="en-GB" w:bidi="ar-SA"/>
        </w:rPr>
      </w:pPr>
    </w:p>
    <w:p w14:paraId="20643B8E" w14:textId="77777777" w:rsidR="00333AC0" w:rsidRPr="00C25E80" w:rsidRDefault="00333AC0" w:rsidP="00011A05">
      <w:pPr>
        <w:widowControl/>
        <w:autoSpaceDE w:val="0"/>
        <w:autoSpaceDN w:val="0"/>
        <w:adjustRightInd w:val="0"/>
        <w:rPr>
          <w:rFonts w:eastAsia="TimesNewRoman" w:cs="Arial"/>
          <w:szCs w:val="22"/>
          <w:lang w:eastAsia="en-GB"/>
        </w:rPr>
      </w:pPr>
      <w:r>
        <w:rPr>
          <w:rFonts w:ascii="CharterBT-Roman" w:hAnsi="CharterBT-Roman" w:cs="CharterBT-Roman"/>
          <w:szCs w:val="22"/>
          <w:lang w:eastAsia="en-GB" w:bidi="ar-SA"/>
        </w:rPr>
        <w:t xml:space="preserve">Although no toxicity concerns were raised by the studies conducted for CRTI, the fact the protein is from a non-food source led the Applicant to submit an acute oral toxicity study in mice using the microbially-derived fusion CRTI. </w:t>
      </w:r>
      <w:r>
        <w:rPr>
          <w:rFonts w:cs="Arial"/>
          <w:color w:val="000000" w:themeColor="text1"/>
          <w:szCs w:val="22"/>
        </w:rPr>
        <w:t>The results i</w:t>
      </w:r>
      <w:r w:rsidRPr="00E92897">
        <w:rPr>
          <w:rFonts w:cs="Arial"/>
          <w:color w:val="000000" w:themeColor="text1"/>
          <w:szCs w:val="22"/>
        </w:rPr>
        <w:t xml:space="preserve">ndicated </w:t>
      </w:r>
      <w:r w:rsidRPr="00E92897">
        <w:rPr>
          <w:rFonts w:eastAsia="TimesNewRoman" w:cs="Arial"/>
          <w:szCs w:val="22"/>
          <w:lang w:eastAsia="en-GB"/>
        </w:rPr>
        <w:t>there was no evidence of</w:t>
      </w:r>
      <w:r>
        <w:rPr>
          <w:rFonts w:eastAsia="TimesNewRoman" w:cs="Arial"/>
          <w:szCs w:val="22"/>
          <w:lang w:eastAsia="en-GB"/>
        </w:rPr>
        <w:t xml:space="preserve"> </w:t>
      </w:r>
      <w:r w:rsidRPr="00E92897">
        <w:rPr>
          <w:rFonts w:eastAsia="TimesNewRoman" w:cs="Arial"/>
          <w:szCs w:val="22"/>
          <w:lang w:eastAsia="en-GB"/>
        </w:rPr>
        <w:t xml:space="preserve">toxicity resulting from oral administration of the protein at </w:t>
      </w:r>
      <w:r>
        <w:rPr>
          <w:rFonts w:eastAsia="TimesNewRoman" w:cs="Arial"/>
          <w:szCs w:val="22"/>
          <w:lang w:eastAsia="en-GB"/>
        </w:rPr>
        <w:t>a dose of 100 mg/kg</w:t>
      </w:r>
      <w:r w:rsidRPr="00E92897">
        <w:rPr>
          <w:rFonts w:eastAsia="TimesNewRoman" w:cs="Arial"/>
          <w:szCs w:val="22"/>
          <w:lang w:eastAsia="en-GB"/>
        </w:rPr>
        <w:t xml:space="preserve"> of body weight</w:t>
      </w:r>
      <w:r>
        <w:rPr>
          <w:rFonts w:eastAsia="TimesNewRoman" w:cs="Arial"/>
          <w:szCs w:val="22"/>
          <w:lang w:eastAsia="en-GB"/>
        </w:rPr>
        <w:t>. This result provides additional assurance of safety of the CRTI protein.</w:t>
      </w:r>
    </w:p>
    <w:p w14:paraId="20643B8F" w14:textId="77777777" w:rsidR="00333AC0" w:rsidRDefault="00333AC0" w:rsidP="00011A05">
      <w:pPr>
        <w:pStyle w:val="FSCh6Subsec"/>
        <w:ind w:left="0"/>
        <w:rPr>
          <w:b w:val="0"/>
          <w:color w:val="000000" w:themeColor="text1"/>
          <w:sz w:val="22"/>
          <w:szCs w:val="22"/>
        </w:rPr>
      </w:pPr>
      <w:r>
        <w:rPr>
          <w:color w:val="000000" w:themeColor="text1"/>
          <w:sz w:val="22"/>
          <w:szCs w:val="22"/>
        </w:rPr>
        <w:t>4.1.5.2</w:t>
      </w:r>
      <w:r w:rsidRPr="00CE29CC">
        <w:rPr>
          <w:color w:val="000000" w:themeColor="text1"/>
          <w:sz w:val="22"/>
          <w:szCs w:val="22"/>
        </w:rPr>
        <w:tab/>
      </w:r>
      <w:r>
        <w:rPr>
          <w:color w:val="000000" w:themeColor="text1"/>
          <w:sz w:val="22"/>
          <w:szCs w:val="22"/>
        </w:rPr>
        <w:t xml:space="preserve">Potential allergenicity of </w:t>
      </w:r>
      <w:r w:rsidRPr="00CE29CC">
        <w:rPr>
          <w:color w:val="000000" w:themeColor="text1"/>
          <w:sz w:val="22"/>
          <w:szCs w:val="22"/>
        </w:rPr>
        <w:t>ZmPSY1 and CRTI</w:t>
      </w:r>
    </w:p>
    <w:p w14:paraId="20643B90" w14:textId="77777777" w:rsidR="00333AC0" w:rsidRPr="005C4E58" w:rsidRDefault="00333AC0" w:rsidP="00011A05">
      <w:pPr>
        <w:rPr>
          <w:lang w:eastAsia="en-AU" w:bidi="ar-SA"/>
        </w:rPr>
      </w:pPr>
    </w:p>
    <w:p w14:paraId="20643B91" w14:textId="77777777" w:rsidR="00333AC0" w:rsidRPr="00FE1776" w:rsidRDefault="00333AC0" w:rsidP="00011A05">
      <w:pPr>
        <w:rPr>
          <w:rFonts w:cs="Arial"/>
          <w:color w:val="000000" w:themeColor="text1"/>
          <w:szCs w:val="22"/>
        </w:rPr>
      </w:pPr>
      <w:r w:rsidRPr="00FE1776">
        <w:rPr>
          <w:rFonts w:cs="Arial"/>
          <w:color w:val="000000" w:themeColor="text1"/>
          <w:szCs w:val="22"/>
        </w:rPr>
        <w:t xml:space="preserve">The potential allergenicity of </w:t>
      </w:r>
      <w:r>
        <w:rPr>
          <w:rFonts w:cs="Arial"/>
          <w:color w:val="000000" w:themeColor="text1"/>
          <w:szCs w:val="22"/>
        </w:rPr>
        <w:t xml:space="preserve">the two </w:t>
      </w:r>
      <w:r w:rsidRPr="00FE1776">
        <w:rPr>
          <w:rFonts w:cs="Arial"/>
          <w:color w:val="000000" w:themeColor="text1"/>
          <w:szCs w:val="22"/>
        </w:rPr>
        <w:t xml:space="preserve">novel proteins was evaluated using an integrated, step-wise, case-by-case approach relying on various criteria used in combination. This is because no single criterion is sufficiently predictive of either allergenicity or non-allergenicity </w:t>
      </w:r>
      <w:r>
        <w:rPr>
          <w:rFonts w:cs="Arial"/>
          <w:noProof/>
          <w:color w:val="000000" w:themeColor="text1"/>
          <w:szCs w:val="22"/>
        </w:rPr>
        <w:t>(see e.g. Thomas et al. 2009)</w:t>
      </w:r>
      <w:r w:rsidRPr="00FE1776">
        <w:rPr>
          <w:rFonts w:cs="Arial"/>
          <w:color w:val="000000" w:themeColor="text1"/>
          <w:szCs w:val="22"/>
        </w:rPr>
        <w:t xml:space="preserve">. The assessment focuses on: </w:t>
      </w:r>
    </w:p>
    <w:p w14:paraId="20643B92" w14:textId="77777777" w:rsidR="00333AC0" w:rsidRPr="00FE1776" w:rsidRDefault="00333AC0" w:rsidP="00011A05">
      <w:pPr>
        <w:rPr>
          <w:rFonts w:cs="Arial"/>
          <w:color w:val="000000" w:themeColor="text1"/>
          <w:szCs w:val="22"/>
        </w:rPr>
      </w:pPr>
    </w:p>
    <w:p w14:paraId="20643B93" w14:textId="77777777" w:rsidR="00333AC0" w:rsidRPr="00FE1776" w:rsidRDefault="00333AC0" w:rsidP="0022311E">
      <w:pPr>
        <w:pStyle w:val="ListParagraph"/>
        <w:widowControl/>
        <w:numPr>
          <w:ilvl w:val="1"/>
          <w:numId w:val="17"/>
        </w:numPr>
        <w:ind w:left="709" w:hanging="283"/>
        <w:rPr>
          <w:rFonts w:cs="Arial"/>
          <w:color w:val="000000" w:themeColor="text1"/>
          <w:szCs w:val="22"/>
        </w:rPr>
      </w:pPr>
      <w:r w:rsidRPr="00FE1776">
        <w:rPr>
          <w:rFonts w:cs="Arial"/>
          <w:color w:val="000000" w:themeColor="text1"/>
          <w:szCs w:val="22"/>
        </w:rPr>
        <w:t xml:space="preserve">the source of the novel protein; </w:t>
      </w:r>
    </w:p>
    <w:p w14:paraId="20643B94" w14:textId="77777777" w:rsidR="00333AC0" w:rsidRPr="00C43012" w:rsidRDefault="00333AC0" w:rsidP="0022311E">
      <w:pPr>
        <w:pStyle w:val="ListParagraph"/>
        <w:widowControl/>
        <w:numPr>
          <w:ilvl w:val="1"/>
          <w:numId w:val="17"/>
        </w:numPr>
        <w:ind w:left="709" w:hanging="283"/>
        <w:rPr>
          <w:rFonts w:cs="Arial"/>
          <w:color w:val="000000" w:themeColor="text1"/>
          <w:szCs w:val="22"/>
        </w:rPr>
      </w:pPr>
      <w:r w:rsidRPr="00C43012">
        <w:rPr>
          <w:rFonts w:cs="Arial"/>
          <w:color w:val="000000" w:themeColor="text1"/>
          <w:szCs w:val="22"/>
        </w:rPr>
        <w:t>any significant amino acid sequence similarity between the novel protein and known allergens; any potential for glycosylation</w:t>
      </w:r>
    </w:p>
    <w:p w14:paraId="20643B95" w14:textId="77777777" w:rsidR="00333AC0" w:rsidRPr="00FE1776" w:rsidRDefault="00333AC0" w:rsidP="0022311E">
      <w:pPr>
        <w:pStyle w:val="ListParagraph"/>
        <w:widowControl/>
        <w:numPr>
          <w:ilvl w:val="1"/>
          <w:numId w:val="17"/>
        </w:numPr>
        <w:ind w:left="709" w:hanging="283"/>
        <w:rPr>
          <w:rFonts w:cs="Arial"/>
          <w:color w:val="000000" w:themeColor="text1"/>
          <w:szCs w:val="22"/>
        </w:rPr>
      </w:pPr>
      <w:r w:rsidRPr="00C43012">
        <w:rPr>
          <w:rFonts w:cs="Arial"/>
          <w:color w:val="000000" w:themeColor="text1"/>
          <w:szCs w:val="22"/>
        </w:rPr>
        <w:t>the structural properties of the novel protein,</w:t>
      </w:r>
      <w:r w:rsidRPr="00FE1776">
        <w:rPr>
          <w:rFonts w:cs="Arial"/>
          <w:color w:val="000000" w:themeColor="text1"/>
          <w:szCs w:val="22"/>
        </w:rPr>
        <w:t xml:space="preserve"> including susceptibility to digestion, heat stability and/or enzymatic treatment; and</w:t>
      </w:r>
    </w:p>
    <w:p w14:paraId="20643B96" w14:textId="77777777" w:rsidR="00333AC0" w:rsidRPr="00FE1776" w:rsidRDefault="00333AC0" w:rsidP="0022311E">
      <w:pPr>
        <w:pStyle w:val="ListParagraph"/>
        <w:widowControl/>
        <w:numPr>
          <w:ilvl w:val="1"/>
          <w:numId w:val="17"/>
        </w:numPr>
        <w:ind w:left="709" w:hanging="283"/>
        <w:rPr>
          <w:rFonts w:cs="Arial"/>
          <w:color w:val="000000" w:themeColor="text1"/>
          <w:szCs w:val="22"/>
        </w:rPr>
      </w:pPr>
      <w:r w:rsidRPr="00FE1776">
        <w:rPr>
          <w:rFonts w:cs="Arial"/>
          <w:color w:val="000000" w:themeColor="text1"/>
          <w:szCs w:val="22"/>
        </w:rPr>
        <w:t>specific serum screening if the novel protein is derived from a source known to be allergenic or has amino acid sequence</w:t>
      </w:r>
      <w:r>
        <w:rPr>
          <w:rFonts w:cs="Arial"/>
          <w:color w:val="000000" w:themeColor="text1"/>
          <w:szCs w:val="22"/>
        </w:rPr>
        <w:t xml:space="preserve"> similarity to a known allergen.</w:t>
      </w:r>
    </w:p>
    <w:p w14:paraId="20643B97" w14:textId="77777777" w:rsidR="00333AC0" w:rsidRPr="00FE1776" w:rsidRDefault="00333AC0" w:rsidP="00011A05">
      <w:pPr>
        <w:rPr>
          <w:rFonts w:cs="Arial"/>
          <w:color w:val="000000" w:themeColor="text1"/>
          <w:szCs w:val="22"/>
        </w:rPr>
      </w:pPr>
    </w:p>
    <w:p w14:paraId="20643B98" w14:textId="77777777" w:rsidR="00333AC0" w:rsidRPr="00E605A8" w:rsidRDefault="00333AC0" w:rsidP="00011A05">
      <w:pPr>
        <w:rPr>
          <w:rFonts w:cs="Arial"/>
          <w:color w:val="000000" w:themeColor="text1"/>
          <w:szCs w:val="22"/>
        </w:rPr>
      </w:pPr>
      <w:r w:rsidRPr="00E605A8">
        <w:rPr>
          <w:rFonts w:cs="Arial"/>
          <w:color w:val="000000" w:themeColor="text1"/>
          <w:szCs w:val="22"/>
        </w:rPr>
        <w:t>Applying this approach systematically provides reasonable evidence about the potential of a novel protein to act as an allergen.</w:t>
      </w:r>
    </w:p>
    <w:p w14:paraId="20643B99" w14:textId="77777777" w:rsidR="00333AC0" w:rsidRDefault="00333AC0" w:rsidP="00011A05">
      <w:pPr>
        <w:widowControl/>
        <w:autoSpaceDE w:val="0"/>
        <w:autoSpaceDN w:val="0"/>
        <w:adjustRightInd w:val="0"/>
        <w:rPr>
          <w:rFonts w:eastAsia="TimesNewRoman" w:cs="Arial"/>
          <w:szCs w:val="22"/>
          <w:lang w:eastAsia="en-GB"/>
        </w:rPr>
      </w:pPr>
    </w:p>
    <w:p w14:paraId="20643B9A"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eastAsia="TimesNewRoman" w:cs="Arial"/>
          <w:b/>
          <w:sz w:val="20"/>
          <w:szCs w:val="20"/>
          <w:lang w:eastAsia="en-GB"/>
        </w:rPr>
      </w:pPr>
      <w:r w:rsidRPr="002720D6">
        <w:rPr>
          <w:rFonts w:eastAsia="TimesNewRoman" w:cs="Arial"/>
          <w:b/>
          <w:sz w:val="20"/>
          <w:szCs w:val="20"/>
          <w:lang w:eastAsia="en-GB"/>
        </w:rPr>
        <w:t>Studies submitted</w:t>
      </w:r>
    </w:p>
    <w:p w14:paraId="20643B9B"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eastAsia="TimesNewRoman" w:cs="Arial"/>
          <w:sz w:val="20"/>
          <w:szCs w:val="20"/>
          <w:lang w:eastAsia="en-GB"/>
        </w:rPr>
      </w:pPr>
    </w:p>
    <w:p w14:paraId="20643B9C"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720D6">
        <w:rPr>
          <w:rFonts w:cs="Arial"/>
          <w:sz w:val="20"/>
          <w:szCs w:val="20"/>
          <w:lang w:eastAsia="en-GB" w:bidi="ar-SA"/>
        </w:rPr>
        <w:t>. Amino acid sequence similarity search between Zea mays phytoene synthase (ZmPSY1) and known and putative protein allergens. Technical report, IR2016-02002 (unpublished), International Rice Research Institute, Los Banos, Laguna, Philippines</w:t>
      </w:r>
    </w:p>
    <w:p w14:paraId="20643B9D"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720D6">
        <w:rPr>
          <w:rFonts w:cs="Arial"/>
          <w:sz w:val="20"/>
          <w:szCs w:val="20"/>
          <w:lang w:eastAsia="en-GB" w:bidi="ar-SA"/>
        </w:rPr>
        <w:t>. Amino acid sequence similarity search between Pantoea ananatis phytoene desaturase (CRTI) and known and putative protein allergens. Technical report, IR2016-02001 (unpublished) International Rice Research Institute, Los Banos, Laguna, Philippines</w:t>
      </w:r>
    </w:p>
    <w:p w14:paraId="20643B9E"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720D6">
        <w:rPr>
          <w:rFonts w:cs="Arial"/>
          <w:sz w:val="20"/>
          <w:szCs w:val="20"/>
          <w:lang w:eastAsia="en-GB" w:bidi="ar-SA"/>
        </w:rPr>
        <w:t>. Characterization of the in vitro pepsin digestibility of phytoene synthase protein (ZmPSY1). Technical report, IR2016-01002 (unpublished), International Rice Research Institute, Los Banos, Laguna, Philippines</w:t>
      </w:r>
    </w:p>
    <w:p w14:paraId="20643B9F" w14:textId="77777777" w:rsidR="00333AC0" w:rsidRPr="002720D6"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2016</w:t>
      </w:r>
      <w:r w:rsidRPr="002720D6">
        <w:rPr>
          <w:rFonts w:cs="Arial"/>
          <w:sz w:val="20"/>
          <w:szCs w:val="20"/>
          <w:lang w:eastAsia="en-GB" w:bidi="ar-SA"/>
        </w:rPr>
        <w:t>. Characterization of the in vitro pepsin digestibility of phytoene desaturase protein (CRTI) using western blot analysis. Technical report, IR2016-07003 (unpublished) International Rice Research Institute, Los Banos, Laguna, Philippines</w:t>
      </w:r>
    </w:p>
    <w:p w14:paraId="20643BA0" w14:textId="77777777" w:rsidR="00333AC0" w:rsidRPr="00E605A8" w:rsidRDefault="00333AC0" w:rsidP="00011A05">
      <w:pPr>
        <w:widowControl/>
        <w:autoSpaceDE w:val="0"/>
        <w:autoSpaceDN w:val="0"/>
        <w:adjustRightInd w:val="0"/>
        <w:rPr>
          <w:rFonts w:eastAsia="TimesNewRoman" w:cs="Arial"/>
          <w:szCs w:val="22"/>
          <w:lang w:eastAsia="en-GB"/>
        </w:rPr>
      </w:pPr>
    </w:p>
    <w:p w14:paraId="16083078" w14:textId="77777777" w:rsidR="009E085C" w:rsidRDefault="009E085C">
      <w:pPr>
        <w:widowControl/>
        <w:rPr>
          <w:rFonts w:cs="Arial"/>
          <w:i/>
          <w:szCs w:val="22"/>
          <w:lang w:eastAsia="en-GB" w:bidi="ar-SA"/>
        </w:rPr>
      </w:pPr>
      <w:r>
        <w:rPr>
          <w:rFonts w:cs="Arial"/>
          <w:i/>
          <w:szCs w:val="22"/>
          <w:lang w:eastAsia="en-GB" w:bidi="ar-SA"/>
        </w:rPr>
        <w:br w:type="page"/>
      </w:r>
    </w:p>
    <w:p w14:paraId="20643BA1" w14:textId="49853327" w:rsidR="00333AC0" w:rsidRPr="00E605A8" w:rsidRDefault="00333AC0" w:rsidP="00011A05">
      <w:pPr>
        <w:widowControl/>
        <w:autoSpaceDE w:val="0"/>
        <w:autoSpaceDN w:val="0"/>
        <w:adjustRightInd w:val="0"/>
        <w:rPr>
          <w:rFonts w:cs="Arial"/>
          <w:i/>
          <w:szCs w:val="22"/>
          <w:lang w:eastAsia="en-GB" w:bidi="ar-SA"/>
        </w:rPr>
      </w:pPr>
      <w:r w:rsidRPr="00E605A8">
        <w:rPr>
          <w:rFonts w:cs="Arial"/>
          <w:i/>
          <w:szCs w:val="22"/>
          <w:lang w:eastAsia="en-GB" w:bidi="ar-SA"/>
        </w:rPr>
        <w:t>Source of the protein</w:t>
      </w:r>
    </w:p>
    <w:p w14:paraId="20643BA2" w14:textId="77777777" w:rsidR="00333AC0" w:rsidRPr="00E605A8" w:rsidRDefault="00333AC0" w:rsidP="00011A05">
      <w:pPr>
        <w:widowControl/>
        <w:autoSpaceDE w:val="0"/>
        <w:autoSpaceDN w:val="0"/>
        <w:adjustRightInd w:val="0"/>
        <w:rPr>
          <w:rFonts w:cs="Arial"/>
          <w:szCs w:val="22"/>
          <w:lang w:eastAsia="en-GB" w:bidi="ar-SA"/>
        </w:rPr>
      </w:pPr>
    </w:p>
    <w:p w14:paraId="20643BA3" w14:textId="77777777" w:rsidR="00333AC0" w:rsidRDefault="00333AC0" w:rsidP="00011A05">
      <w:pPr>
        <w:rPr>
          <w:rFonts w:cs="Arial"/>
          <w:color w:val="000000" w:themeColor="text1"/>
          <w:szCs w:val="22"/>
        </w:rPr>
      </w:pPr>
      <w:r w:rsidRPr="00E605A8">
        <w:rPr>
          <w:rFonts w:cs="Arial"/>
          <w:color w:val="000000" w:themeColor="text1"/>
          <w:szCs w:val="22"/>
        </w:rPr>
        <w:t xml:space="preserve">The </w:t>
      </w:r>
      <w:r w:rsidRPr="00E605A8">
        <w:rPr>
          <w:rFonts w:cs="Arial"/>
          <w:i/>
          <w:color w:val="000000" w:themeColor="text1"/>
          <w:szCs w:val="22"/>
        </w:rPr>
        <w:t>Zm</w:t>
      </w:r>
      <w:r w:rsidRPr="00E605A8">
        <w:rPr>
          <w:rFonts w:cs="Arial"/>
          <w:color w:val="000000" w:themeColor="text1"/>
          <w:szCs w:val="22"/>
        </w:rPr>
        <w:t xml:space="preserve">PSY1 protein is derived from </w:t>
      </w:r>
      <w:r w:rsidRPr="00E605A8">
        <w:rPr>
          <w:rFonts w:cs="Arial"/>
          <w:i/>
          <w:color w:val="000000" w:themeColor="text1"/>
          <w:szCs w:val="22"/>
        </w:rPr>
        <w:t>Zea mays</w:t>
      </w:r>
      <w:r w:rsidRPr="00E605A8">
        <w:rPr>
          <w:rFonts w:cs="Arial"/>
          <w:color w:val="000000" w:themeColor="text1"/>
          <w:szCs w:val="22"/>
        </w:rPr>
        <w:t xml:space="preserve">. Few food-induced allergic reactions to corn have been reported and corn tends not </w:t>
      </w:r>
      <w:r>
        <w:rPr>
          <w:rFonts w:cs="Arial"/>
          <w:color w:val="000000" w:themeColor="text1"/>
          <w:szCs w:val="22"/>
        </w:rPr>
        <w:t xml:space="preserve">to </w:t>
      </w:r>
      <w:r w:rsidRPr="00E605A8">
        <w:rPr>
          <w:rFonts w:cs="Arial"/>
          <w:color w:val="000000" w:themeColor="text1"/>
          <w:szCs w:val="22"/>
        </w:rPr>
        <w:t xml:space="preserve">be regarded as a commonly allergenic food </w:t>
      </w:r>
      <w:r>
        <w:rPr>
          <w:rFonts w:cs="Arial"/>
          <w:noProof/>
          <w:color w:val="000000" w:themeColor="text1"/>
          <w:szCs w:val="22"/>
        </w:rPr>
        <w:t>(OECD 2002)</w:t>
      </w:r>
      <w:r w:rsidRPr="00E605A8">
        <w:rPr>
          <w:rFonts w:cs="Arial"/>
          <w:color w:val="000000" w:themeColor="text1"/>
          <w:szCs w:val="22"/>
        </w:rPr>
        <w:t xml:space="preserve">. Nevertheless, there are allergenicity concerns associated with certain proteins expressed in the pollen of corn, e.g. Zm13 protein </w:t>
      </w:r>
      <w:r>
        <w:rPr>
          <w:rFonts w:cs="Arial"/>
          <w:noProof/>
          <w:color w:val="000000" w:themeColor="text1"/>
          <w:szCs w:val="22"/>
        </w:rPr>
        <w:t>(Heiss et al. 1996)</w:t>
      </w:r>
      <w:r w:rsidRPr="00E605A8">
        <w:rPr>
          <w:rFonts w:cs="Arial"/>
          <w:color w:val="000000" w:themeColor="text1"/>
          <w:szCs w:val="22"/>
        </w:rPr>
        <w:t xml:space="preserve">, and a number of allergens have also been isolated from the seed, although most have not been clinically evaluated for their allergenic potential. The most significant of these is Zm14 </w:t>
      </w:r>
      <w:r>
        <w:rPr>
          <w:rFonts w:cs="Arial"/>
          <w:noProof/>
          <w:color w:val="000000" w:themeColor="text1"/>
          <w:szCs w:val="22"/>
        </w:rPr>
        <w:t>(Pastorello et al. 2000)</w:t>
      </w:r>
      <w:r w:rsidRPr="00E605A8">
        <w:rPr>
          <w:rFonts w:cs="Arial"/>
          <w:color w:val="000000" w:themeColor="text1"/>
          <w:szCs w:val="22"/>
        </w:rPr>
        <w:t xml:space="preserve">, a lipid transfer protein </w:t>
      </w:r>
      <w:r>
        <w:rPr>
          <w:rFonts w:cs="Arial"/>
          <w:color w:val="000000" w:themeColor="text1"/>
          <w:szCs w:val="22"/>
        </w:rPr>
        <w:t xml:space="preserve">(α-amylase inhibitor) </w:t>
      </w:r>
      <w:r w:rsidRPr="00E605A8">
        <w:rPr>
          <w:rFonts w:cs="Arial"/>
          <w:color w:val="000000" w:themeColor="text1"/>
          <w:szCs w:val="22"/>
        </w:rPr>
        <w:t xml:space="preserve">that can maintain its IgE binding capacity even after heat treatment </w:t>
      </w:r>
      <w:r>
        <w:rPr>
          <w:rFonts w:cs="Arial"/>
          <w:noProof/>
          <w:color w:val="000000" w:themeColor="text1"/>
          <w:szCs w:val="22"/>
        </w:rPr>
        <w:t>(Pastorello et al. 2003)</w:t>
      </w:r>
      <w:r w:rsidRPr="00E605A8">
        <w:rPr>
          <w:rFonts w:cs="Arial"/>
          <w:color w:val="000000" w:themeColor="text1"/>
          <w:szCs w:val="22"/>
        </w:rPr>
        <w:t>. Zm14 has been associated with anaphylactic reaction in susceptible individuals.</w:t>
      </w:r>
      <w:r>
        <w:rPr>
          <w:rFonts w:cs="Arial"/>
          <w:color w:val="000000" w:themeColor="text1"/>
          <w:szCs w:val="22"/>
        </w:rPr>
        <w:t xml:space="preserve"> Pastorello et al </w:t>
      </w:r>
      <w:r>
        <w:rPr>
          <w:rFonts w:cs="Arial"/>
          <w:noProof/>
          <w:color w:val="000000" w:themeColor="text1"/>
          <w:szCs w:val="22"/>
        </w:rPr>
        <w:t>(2009)</w:t>
      </w:r>
      <w:r>
        <w:rPr>
          <w:rFonts w:cs="Arial"/>
          <w:color w:val="000000" w:themeColor="text1"/>
          <w:szCs w:val="22"/>
        </w:rPr>
        <w:t xml:space="preserve"> also nominate endochitinases and α-zein precursors as possible corn allergens. The PSY1</w:t>
      </w:r>
      <w:r w:rsidRPr="00E605A8">
        <w:rPr>
          <w:rFonts w:cs="Arial"/>
          <w:color w:val="000000" w:themeColor="text1"/>
          <w:szCs w:val="22"/>
        </w:rPr>
        <w:t xml:space="preserve"> proteins, from corn or elsewhere, have not themselves been implicated in any food-related allergic reactions.</w:t>
      </w:r>
    </w:p>
    <w:p w14:paraId="20643BA4" w14:textId="77777777" w:rsidR="00333AC0" w:rsidRDefault="00333AC0" w:rsidP="00011A05">
      <w:pPr>
        <w:rPr>
          <w:rFonts w:cs="Arial"/>
          <w:color w:val="000000" w:themeColor="text1"/>
          <w:szCs w:val="22"/>
        </w:rPr>
      </w:pPr>
    </w:p>
    <w:p w14:paraId="20643BA5" w14:textId="77777777" w:rsidR="00333AC0" w:rsidRPr="00B275D4" w:rsidRDefault="00333AC0" w:rsidP="00011A05">
      <w:pPr>
        <w:rPr>
          <w:color w:val="000000" w:themeColor="text1"/>
        </w:rPr>
      </w:pPr>
      <w:r>
        <w:rPr>
          <w:rFonts w:cs="Arial"/>
          <w:color w:val="000000" w:themeColor="text1"/>
          <w:szCs w:val="22"/>
        </w:rPr>
        <w:t xml:space="preserve">The CRTI protein is derived from the bacterium </w:t>
      </w:r>
      <w:r w:rsidRPr="00B23205">
        <w:rPr>
          <w:i/>
          <w:color w:val="000000" w:themeColor="text1"/>
          <w:lang w:val="en-AU"/>
        </w:rPr>
        <w:t>Pantoea ananatis</w:t>
      </w:r>
      <w:r>
        <w:rPr>
          <w:i/>
          <w:color w:val="000000" w:themeColor="text1"/>
          <w:lang w:val="en-AU"/>
        </w:rPr>
        <w:t>.</w:t>
      </w:r>
      <w:r>
        <w:rPr>
          <w:color w:val="000000" w:themeColor="text1"/>
          <w:lang w:val="en-AU"/>
        </w:rPr>
        <w:t xml:space="preserve"> No endogenous proteins from this species are listed in the Food Allergy Research and Resource Program (FARRP) </w:t>
      </w:r>
      <w:hyperlink r:id="rId43" w:history="1">
        <w:r w:rsidRPr="00797A3B">
          <w:rPr>
            <w:rStyle w:val="Hyperlink"/>
            <w:lang w:val="en-AU"/>
          </w:rPr>
          <w:t>Allergen Protein Database</w:t>
        </w:r>
      </w:hyperlink>
      <w:r>
        <w:rPr>
          <w:rStyle w:val="FootnoteReference"/>
          <w:color w:val="000000" w:themeColor="text1"/>
          <w:lang w:val="en-AU"/>
        </w:rPr>
        <w:footnoteReference w:id="19"/>
      </w:r>
      <w:r>
        <w:rPr>
          <w:color w:val="000000" w:themeColor="text1"/>
          <w:lang w:val="en-AU"/>
        </w:rPr>
        <w:t xml:space="preserve"> (</w:t>
      </w:r>
      <w:r w:rsidRPr="00142501">
        <w:rPr>
          <w:color w:val="000000" w:themeColor="text1"/>
          <w:lang w:val="en-AU"/>
        </w:rPr>
        <w:t>accessed 11 May 2017).</w:t>
      </w:r>
      <w:r>
        <w:rPr>
          <w:color w:val="000000" w:themeColor="text1"/>
          <w:lang w:val="en-AU"/>
        </w:rPr>
        <w:t xml:space="preserve"> As indicated </w:t>
      </w:r>
      <w:r w:rsidRPr="00B275D4">
        <w:rPr>
          <w:color w:val="000000" w:themeColor="text1"/>
          <w:lang w:val="en-AU"/>
        </w:rPr>
        <w:t xml:space="preserve">in Section 4.1.5.1, </w:t>
      </w:r>
      <w:r w:rsidRPr="00B275D4">
        <w:rPr>
          <w:i/>
          <w:color w:val="000000" w:themeColor="text1"/>
        </w:rPr>
        <w:t>Pantoea</w:t>
      </w:r>
      <w:r w:rsidRPr="00B275D4">
        <w:rPr>
          <w:color w:val="000000" w:themeColor="text1"/>
        </w:rPr>
        <w:t xml:space="preserve"> sp. containing the CRTI protein has been detected on meat </w:t>
      </w:r>
      <w:r w:rsidRPr="00B275D4">
        <w:rPr>
          <w:noProof/>
          <w:color w:val="000000" w:themeColor="text1"/>
        </w:rPr>
        <w:t>(Ercolini et al. 2006)</w:t>
      </w:r>
      <w:r w:rsidRPr="00B275D4">
        <w:rPr>
          <w:color w:val="000000" w:themeColor="text1"/>
        </w:rPr>
        <w:t xml:space="preserve">, and fresh fruit and vegetables </w:t>
      </w:r>
      <w:r w:rsidRPr="00B275D4">
        <w:rPr>
          <w:noProof/>
          <w:color w:val="000000" w:themeColor="text1"/>
        </w:rPr>
        <w:t>(Leff and Fierer 2013)</w:t>
      </w:r>
      <w:r w:rsidRPr="00B275D4">
        <w:rPr>
          <w:color w:val="000000" w:themeColor="text1"/>
        </w:rPr>
        <w:t>.</w:t>
      </w:r>
    </w:p>
    <w:p w14:paraId="20643BA6" w14:textId="77777777" w:rsidR="00333AC0" w:rsidRPr="00B275D4" w:rsidRDefault="00333AC0" w:rsidP="00011A05">
      <w:pPr>
        <w:rPr>
          <w:color w:val="000000" w:themeColor="text1"/>
        </w:rPr>
      </w:pPr>
    </w:p>
    <w:p w14:paraId="20643BA7" w14:textId="77777777" w:rsidR="00333AC0" w:rsidRPr="00B275D4" w:rsidRDefault="00333AC0" w:rsidP="00011A05">
      <w:pPr>
        <w:rPr>
          <w:rFonts w:cs="Arial"/>
          <w:i/>
          <w:color w:val="000000" w:themeColor="text1"/>
          <w:szCs w:val="22"/>
        </w:rPr>
      </w:pPr>
      <w:r w:rsidRPr="00B275D4">
        <w:rPr>
          <w:rFonts w:cs="Arial"/>
          <w:i/>
          <w:color w:val="000000" w:themeColor="text1"/>
          <w:szCs w:val="22"/>
        </w:rPr>
        <w:t>Similarity to known allergens</w:t>
      </w:r>
    </w:p>
    <w:p w14:paraId="20643BA8" w14:textId="77777777" w:rsidR="00333AC0" w:rsidRPr="00B275D4" w:rsidRDefault="00333AC0" w:rsidP="00011A05">
      <w:pPr>
        <w:rPr>
          <w:rFonts w:cs="Arial"/>
          <w:color w:val="000000" w:themeColor="text1"/>
          <w:szCs w:val="22"/>
        </w:rPr>
      </w:pPr>
    </w:p>
    <w:p w14:paraId="20643BA9" w14:textId="77777777" w:rsidR="00333AC0" w:rsidRPr="00B275D4" w:rsidRDefault="00333AC0" w:rsidP="00011A05">
      <w:pPr>
        <w:rPr>
          <w:rFonts w:cs="Arial"/>
          <w:color w:val="000000" w:themeColor="text1"/>
          <w:szCs w:val="22"/>
        </w:rPr>
      </w:pPr>
      <w:r w:rsidRPr="00B275D4">
        <w:rPr>
          <w:rFonts w:cs="Arial"/>
          <w:color w:val="000000" w:themeColor="text1"/>
          <w:szCs w:val="22"/>
        </w:rPr>
        <w:t xml:space="preserve">Bioinformatic analysis provides part of a weight of evidence approach for assessing potential allergenicity of novel proteins introduced to GM plants </w:t>
      </w:r>
      <w:r w:rsidRPr="00B275D4">
        <w:rPr>
          <w:rFonts w:cs="Arial"/>
          <w:noProof/>
          <w:color w:val="000000" w:themeColor="text1"/>
          <w:szCs w:val="22"/>
        </w:rPr>
        <w:t>(Thomas et al. 2005; Goodman 2006)</w:t>
      </w:r>
      <w:r w:rsidRPr="00B275D4">
        <w:rPr>
          <w:rFonts w:cs="Arial"/>
          <w:color w:val="000000" w:themeColor="text1"/>
          <w:szCs w:val="22"/>
        </w:rPr>
        <w:t>. It is a method for comparing the amino acid sequence of the introduced protein with sequences of known allergens in order to indicate potential cross-reactivity between allergenic proteins and the introduced protein. As with the bioinformatic analysis that looked at similarities of the novel proteins with known protein toxins (refer to Section</w:t>
      </w:r>
      <w:r w:rsidRPr="00B275D4">
        <w:rPr>
          <w:color w:val="000000" w:themeColor="text1"/>
        </w:rPr>
        <w:t xml:space="preserve"> 4.1.5.1</w:t>
      </w:r>
      <w:r w:rsidRPr="00B275D4">
        <w:rPr>
          <w:rFonts w:cs="Arial"/>
          <w:color w:val="000000" w:themeColor="text1"/>
          <w:szCs w:val="22"/>
        </w:rPr>
        <w:t xml:space="preserve">), the generation of an </w:t>
      </w:r>
      <w:r w:rsidRPr="00B275D4">
        <w:rPr>
          <w:rFonts w:cs="Arial"/>
          <w:i/>
          <w:color w:val="000000" w:themeColor="text1"/>
          <w:szCs w:val="22"/>
        </w:rPr>
        <w:t>E</w:t>
      </w:r>
      <w:r w:rsidRPr="00B275D4">
        <w:rPr>
          <w:rFonts w:cs="Arial"/>
          <w:color w:val="000000" w:themeColor="text1"/>
          <w:szCs w:val="22"/>
        </w:rPr>
        <w:t xml:space="preserve"> value provides an important indicator of significance of matches </w:t>
      </w:r>
      <w:r w:rsidRPr="00B275D4">
        <w:rPr>
          <w:rFonts w:cs="Arial"/>
          <w:noProof/>
          <w:color w:val="000000" w:themeColor="text1"/>
          <w:szCs w:val="22"/>
        </w:rPr>
        <w:t>(Pearson 2000; Baxevanis 2005)</w:t>
      </w:r>
      <w:r w:rsidRPr="00B275D4">
        <w:rPr>
          <w:rFonts w:cs="Arial"/>
          <w:color w:val="000000" w:themeColor="text1"/>
          <w:szCs w:val="22"/>
        </w:rPr>
        <w:t>.</w:t>
      </w:r>
    </w:p>
    <w:p w14:paraId="20643BAA" w14:textId="77777777" w:rsidR="00333AC0" w:rsidRPr="00B275D4" w:rsidRDefault="00333AC0" w:rsidP="00011A05">
      <w:pPr>
        <w:rPr>
          <w:rFonts w:cs="Arial"/>
          <w:color w:val="000000" w:themeColor="text1"/>
          <w:szCs w:val="22"/>
        </w:rPr>
      </w:pPr>
    </w:p>
    <w:p w14:paraId="20643BAB" w14:textId="77777777" w:rsidR="00333AC0" w:rsidRPr="00B275D4" w:rsidRDefault="00333AC0" w:rsidP="00011A05">
      <w:pPr>
        <w:widowControl/>
        <w:autoSpaceDE w:val="0"/>
        <w:autoSpaceDN w:val="0"/>
        <w:adjustRightInd w:val="0"/>
        <w:rPr>
          <w:rFonts w:cs="Arial"/>
          <w:szCs w:val="22"/>
          <w:lang w:eastAsia="en-GB" w:bidi="ar-SA"/>
        </w:rPr>
      </w:pPr>
      <w:r w:rsidRPr="00B275D4">
        <w:rPr>
          <w:rFonts w:cs="Arial"/>
          <w:color w:val="000000" w:themeColor="text1"/>
          <w:szCs w:val="22"/>
        </w:rPr>
        <w:t xml:space="preserve">To evaluate the similarity to known allergens of the ZmPSY1 and CRTI </w:t>
      </w:r>
      <w:r w:rsidRPr="00B275D4">
        <w:rPr>
          <w:rFonts w:cs="Arial"/>
          <w:bCs/>
          <w:color w:val="000000" w:themeColor="text1"/>
          <w:szCs w:val="22"/>
        </w:rPr>
        <w:t>proteins</w:t>
      </w:r>
      <w:r w:rsidRPr="00B275D4">
        <w:rPr>
          <w:rFonts w:cs="Arial"/>
          <w:bCs/>
          <w:color w:val="000000" w:themeColor="text1"/>
          <w:sz w:val="20"/>
          <w:szCs w:val="20"/>
        </w:rPr>
        <w:t xml:space="preserve"> </w:t>
      </w:r>
      <w:r w:rsidRPr="00B275D4">
        <w:rPr>
          <w:rFonts w:cs="Arial"/>
          <w:color w:val="000000" w:themeColor="text1"/>
          <w:szCs w:val="22"/>
        </w:rPr>
        <w:t xml:space="preserve">an epitope search was carried out to identify any short sequences of amino acids that might represent an isolated shared allergenic epitope. </w:t>
      </w:r>
      <w:r w:rsidRPr="00B275D4">
        <w:rPr>
          <w:rFonts w:cs="Arial"/>
          <w:szCs w:val="22"/>
          <w:lang w:eastAsia="en-GB" w:bidi="ar-SA"/>
        </w:rPr>
        <w:t>The only detectable CRTI protein in plant tissues was the mature form following processing to remove the N-terminal transit peptide (RUBISCO-SSU) sequence. However, to account for the possibility that extremely low concentrations of SSU-CRTI protein could be present, the allergen database search was also conducted using the full-length sequence of the fused product.</w:t>
      </w:r>
    </w:p>
    <w:p w14:paraId="20643BAC" w14:textId="77777777" w:rsidR="00333AC0" w:rsidRPr="00B275D4" w:rsidRDefault="00333AC0" w:rsidP="00011A05">
      <w:pPr>
        <w:widowControl/>
        <w:autoSpaceDE w:val="0"/>
        <w:autoSpaceDN w:val="0"/>
        <w:adjustRightInd w:val="0"/>
        <w:rPr>
          <w:rFonts w:ascii="CharterBT-Roman" w:hAnsi="CharterBT-Roman" w:cs="CharterBT-Roman"/>
          <w:szCs w:val="22"/>
          <w:lang w:eastAsia="en-GB" w:bidi="ar-SA"/>
        </w:rPr>
      </w:pPr>
    </w:p>
    <w:p w14:paraId="20643BAD" w14:textId="77777777" w:rsidR="00333AC0" w:rsidRPr="00041FFC" w:rsidRDefault="00333AC0" w:rsidP="00011A05">
      <w:pPr>
        <w:widowControl/>
        <w:autoSpaceDE w:val="0"/>
        <w:autoSpaceDN w:val="0"/>
        <w:adjustRightInd w:val="0"/>
        <w:rPr>
          <w:rFonts w:ascii="CharterBT-Roman" w:hAnsi="CharterBT-Roman" w:cs="CharterBT-Roman"/>
          <w:szCs w:val="22"/>
          <w:lang w:eastAsia="en-GB" w:bidi="ar-SA"/>
        </w:rPr>
      </w:pPr>
      <w:r w:rsidRPr="00B275D4">
        <w:rPr>
          <w:rFonts w:cs="Arial"/>
          <w:color w:val="000000" w:themeColor="text1"/>
          <w:szCs w:val="22"/>
        </w:rPr>
        <w:t xml:space="preserve">The </w:t>
      </w:r>
      <w:r w:rsidRPr="00B275D4">
        <w:rPr>
          <w:rFonts w:cs="Arial"/>
          <w:i/>
          <w:color w:val="000000" w:themeColor="text1"/>
          <w:szCs w:val="22"/>
        </w:rPr>
        <w:t>Zm</w:t>
      </w:r>
      <w:r w:rsidRPr="00B275D4">
        <w:rPr>
          <w:rFonts w:cs="Arial"/>
          <w:color w:val="000000" w:themeColor="text1"/>
          <w:szCs w:val="22"/>
        </w:rPr>
        <w:t>PSY1 and CRTI/SSU-CRTI sequences were compared with all known putative allergen and celiac sequences residing in a reference allergen database, (FARRP version 16, released on 27 January 2016 – containing 1,956 non-redundant entries) using the FASTA (version 35) algorithm and BLOSUM50 scoring matrix (refer to Section 4.1.5.1).</w:t>
      </w:r>
      <w:r>
        <w:rPr>
          <w:rFonts w:cs="Arial"/>
          <w:color w:val="000000" w:themeColor="text1"/>
          <w:szCs w:val="22"/>
        </w:rPr>
        <w:t xml:space="preserve"> </w:t>
      </w:r>
    </w:p>
    <w:p w14:paraId="20643BAE" w14:textId="77777777" w:rsidR="00333AC0" w:rsidRPr="00956074" w:rsidRDefault="00333AC0" w:rsidP="00011A05">
      <w:pPr>
        <w:rPr>
          <w:rFonts w:cs="Arial"/>
          <w:color w:val="000000" w:themeColor="text1"/>
          <w:szCs w:val="22"/>
        </w:rPr>
      </w:pPr>
    </w:p>
    <w:p w14:paraId="20643BAF" w14:textId="77777777" w:rsidR="00333AC0" w:rsidRDefault="00333AC0" w:rsidP="00011A05">
      <w:pPr>
        <w:rPr>
          <w:rFonts w:cs="Arial"/>
          <w:color w:val="000000" w:themeColor="text1"/>
          <w:szCs w:val="22"/>
        </w:rPr>
      </w:pPr>
      <w:r w:rsidRPr="00956074">
        <w:rPr>
          <w:rFonts w:cs="Arial"/>
          <w:color w:val="000000" w:themeColor="text1"/>
          <w:szCs w:val="22"/>
        </w:rPr>
        <w:t xml:space="preserve">No </w:t>
      </w:r>
      <w:r>
        <w:rPr>
          <w:rFonts w:cs="Arial"/>
          <w:color w:val="000000" w:themeColor="text1"/>
          <w:szCs w:val="22"/>
        </w:rPr>
        <w:t xml:space="preserve">biologically relevant </w:t>
      </w:r>
      <w:r w:rsidRPr="00956074">
        <w:rPr>
          <w:rFonts w:cs="Arial"/>
          <w:color w:val="000000" w:themeColor="text1"/>
          <w:szCs w:val="22"/>
        </w:rPr>
        <w:t xml:space="preserve">alignment for either protein met or exceeded the Codex Alimentarius </w:t>
      </w:r>
      <w:r w:rsidRPr="00956074">
        <w:rPr>
          <w:rFonts w:cs="Arial"/>
          <w:noProof/>
          <w:color w:val="000000" w:themeColor="text1"/>
          <w:szCs w:val="22"/>
        </w:rPr>
        <w:t>(Codex 2009)</w:t>
      </w:r>
      <w:r w:rsidRPr="00956074">
        <w:rPr>
          <w:rFonts w:cs="Arial"/>
          <w:color w:val="000000" w:themeColor="text1"/>
          <w:szCs w:val="22"/>
        </w:rPr>
        <w:t xml:space="preserve"> FASTA alignment threshold for potential allergenicity (35% identity over 80 amino acids). </w:t>
      </w:r>
      <w:r>
        <w:rPr>
          <w:rFonts w:cs="Arial"/>
          <w:color w:val="000000" w:themeColor="text1"/>
          <w:szCs w:val="22"/>
        </w:rPr>
        <w:t xml:space="preserve">For CRTI, a search was also done to compare every possible peptide of eight contiguous amino acids </w:t>
      </w:r>
      <w:r w:rsidRPr="00F70C3D">
        <w:rPr>
          <w:rFonts w:cs="Arial"/>
          <w:noProof/>
          <w:color w:val="000000" w:themeColor="text1"/>
          <w:szCs w:val="22"/>
        </w:rPr>
        <w:t>(Metcalfe et al. 1996)</w:t>
      </w:r>
      <w:r>
        <w:rPr>
          <w:rFonts w:cs="Arial"/>
          <w:color w:val="000000" w:themeColor="text1"/>
          <w:szCs w:val="22"/>
        </w:rPr>
        <w:t xml:space="preserve"> with the sequences in the FARRP database. No alignments </w:t>
      </w:r>
      <w:r w:rsidRPr="00F70C3D">
        <w:rPr>
          <w:rFonts w:cs="Arial"/>
          <w:color w:val="000000" w:themeColor="text1"/>
          <w:szCs w:val="22"/>
        </w:rPr>
        <w:t xml:space="preserve">were found. </w:t>
      </w:r>
      <w:r w:rsidRPr="00956074">
        <w:rPr>
          <w:rFonts w:cs="Arial"/>
          <w:color w:val="000000" w:themeColor="text1"/>
          <w:szCs w:val="22"/>
        </w:rPr>
        <w:t xml:space="preserve">It was concluded that </w:t>
      </w:r>
      <w:r w:rsidRPr="00956074">
        <w:rPr>
          <w:color w:val="000000" w:themeColor="text1"/>
          <w:szCs w:val="22"/>
        </w:rPr>
        <w:t xml:space="preserve">neither </w:t>
      </w:r>
      <w:r w:rsidRPr="00956074">
        <w:rPr>
          <w:i/>
          <w:color w:val="000000" w:themeColor="text1"/>
          <w:szCs w:val="22"/>
        </w:rPr>
        <w:t>Zm</w:t>
      </w:r>
      <w:r w:rsidRPr="00956074">
        <w:rPr>
          <w:color w:val="000000" w:themeColor="text1"/>
          <w:szCs w:val="22"/>
        </w:rPr>
        <w:t>PSY1 nor CRTI</w:t>
      </w:r>
      <w:r>
        <w:rPr>
          <w:color w:val="000000" w:themeColor="text1"/>
          <w:szCs w:val="22"/>
        </w:rPr>
        <w:t>/SSU-CRTI</w:t>
      </w:r>
      <w:r w:rsidRPr="00956074">
        <w:rPr>
          <w:rFonts w:cs="Arial"/>
          <w:color w:val="000000" w:themeColor="text1"/>
          <w:szCs w:val="22"/>
        </w:rPr>
        <w:t xml:space="preserve"> contain any </w:t>
      </w:r>
      <w:r>
        <w:rPr>
          <w:rFonts w:cs="Arial"/>
          <w:color w:val="000000" w:themeColor="text1"/>
          <w:szCs w:val="22"/>
        </w:rPr>
        <w:t xml:space="preserve">cross-reactive </w:t>
      </w:r>
      <w:r w:rsidRPr="003C3A66">
        <w:rPr>
          <w:rFonts w:cs="Arial"/>
          <w:color w:val="000000" w:themeColor="text1"/>
          <w:szCs w:val="22"/>
        </w:rPr>
        <w:t>IgE binding</w:t>
      </w:r>
      <w:r w:rsidRPr="00956074">
        <w:rPr>
          <w:rFonts w:cs="Arial"/>
          <w:color w:val="000000" w:themeColor="text1"/>
          <w:szCs w:val="22"/>
        </w:rPr>
        <w:t xml:space="preserve"> epitopes with known allergens.</w:t>
      </w:r>
    </w:p>
    <w:p w14:paraId="20643BB0" w14:textId="77777777" w:rsidR="00333AC0" w:rsidRDefault="00333AC0">
      <w:pPr>
        <w:widowControl/>
        <w:rPr>
          <w:rFonts w:cs="Arial"/>
          <w:i/>
          <w:color w:val="000000" w:themeColor="text1"/>
          <w:szCs w:val="22"/>
        </w:rPr>
      </w:pPr>
    </w:p>
    <w:p w14:paraId="499ABF44" w14:textId="77777777" w:rsidR="009E085C" w:rsidRDefault="009E085C">
      <w:pPr>
        <w:widowControl/>
        <w:rPr>
          <w:rFonts w:cs="Arial"/>
          <w:i/>
          <w:color w:val="000000" w:themeColor="text1"/>
          <w:szCs w:val="22"/>
        </w:rPr>
      </w:pPr>
      <w:r>
        <w:rPr>
          <w:rFonts w:cs="Arial"/>
          <w:i/>
          <w:color w:val="000000" w:themeColor="text1"/>
          <w:szCs w:val="22"/>
        </w:rPr>
        <w:br w:type="page"/>
      </w:r>
    </w:p>
    <w:p w14:paraId="20643BB1" w14:textId="4D8A3186" w:rsidR="00333AC0" w:rsidRPr="008C5DBD" w:rsidRDefault="00333AC0" w:rsidP="00011A05">
      <w:pPr>
        <w:rPr>
          <w:rFonts w:cs="Arial"/>
          <w:i/>
          <w:color w:val="000000" w:themeColor="text1"/>
          <w:szCs w:val="22"/>
        </w:rPr>
      </w:pPr>
      <w:r>
        <w:rPr>
          <w:rFonts w:cs="Arial"/>
          <w:i/>
          <w:color w:val="000000" w:themeColor="text1"/>
          <w:szCs w:val="22"/>
        </w:rPr>
        <w:t xml:space="preserve">Glycosylation </w:t>
      </w:r>
    </w:p>
    <w:p w14:paraId="20643BB2" w14:textId="77777777" w:rsidR="00333AC0" w:rsidRPr="00436348" w:rsidRDefault="00333AC0" w:rsidP="00011A05">
      <w:pPr>
        <w:rPr>
          <w:rFonts w:cs="Arial"/>
          <w:color w:val="000000" w:themeColor="text1"/>
          <w:szCs w:val="22"/>
        </w:rPr>
      </w:pPr>
    </w:p>
    <w:p w14:paraId="20643BB3" w14:textId="77777777" w:rsidR="00333AC0" w:rsidRPr="006A3B74" w:rsidRDefault="00333AC0" w:rsidP="00011A05">
      <w:pPr>
        <w:widowControl/>
        <w:autoSpaceDE w:val="0"/>
        <w:autoSpaceDN w:val="0"/>
        <w:adjustRightInd w:val="0"/>
        <w:rPr>
          <w:rFonts w:cs="Arial"/>
          <w:color w:val="000000" w:themeColor="text1"/>
          <w:szCs w:val="22"/>
          <w:lang w:eastAsia="en-GB" w:bidi="ar-SA"/>
        </w:rPr>
      </w:pPr>
      <w:r w:rsidRPr="00436348">
        <w:rPr>
          <w:rFonts w:cs="Arial"/>
          <w:color w:val="000000" w:themeColor="text1"/>
          <w:szCs w:val="22"/>
        </w:rPr>
        <w:t xml:space="preserve">The </w:t>
      </w:r>
      <w:r>
        <w:rPr>
          <w:rFonts w:cs="Arial"/>
          <w:color w:val="000000" w:themeColor="text1"/>
          <w:szCs w:val="22"/>
        </w:rPr>
        <w:t xml:space="preserve">potential for glycosylation was investigated for each protein. Glycosylation </w:t>
      </w:r>
      <w:r w:rsidRPr="006A3B74">
        <w:rPr>
          <w:rFonts w:cs="Arial"/>
          <w:color w:val="000000" w:themeColor="text1"/>
          <w:szCs w:val="22"/>
        </w:rPr>
        <w:t xml:space="preserve">essentially involves the covalent attachment of a carbohydrate </w:t>
      </w:r>
      <w:r>
        <w:rPr>
          <w:rFonts w:cs="Arial"/>
          <w:color w:val="000000" w:themeColor="text1"/>
          <w:szCs w:val="22"/>
        </w:rPr>
        <w:t xml:space="preserve">(glycan) </w:t>
      </w:r>
      <w:r w:rsidRPr="006A3B74">
        <w:rPr>
          <w:rFonts w:cs="Arial"/>
          <w:color w:val="000000" w:themeColor="text1"/>
          <w:szCs w:val="22"/>
        </w:rPr>
        <w:t xml:space="preserve">to the target protein. </w:t>
      </w:r>
      <w:r w:rsidRPr="006A3B74">
        <w:rPr>
          <w:rFonts w:cs="Arial"/>
          <w:color w:val="000000" w:themeColor="text1"/>
          <w:szCs w:val="22"/>
          <w:lang w:eastAsia="en-AU"/>
        </w:rPr>
        <w:t xml:space="preserve">The carbohydrate component may represent from &lt;1% to &gt;80% of the total molecular weight of glycoprotein. </w:t>
      </w:r>
      <w:r>
        <w:rPr>
          <w:rFonts w:cs="Arial"/>
          <w:color w:val="000000" w:themeColor="text1"/>
          <w:szCs w:val="22"/>
          <w:lang w:eastAsia="en-AU"/>
        </w:rPr>
        <w:t xml:space="preserve">N-glycosylation can affect protein stability and/or activity and </w:t>
      </w:r>
      <w:r>
        <w:rPr>
          <w:rFonts w:cs="Arial"/>
          <w:color w:val="000000" w:themeColor="text1"/>
          <w:szCs w:val="22"/>
        </w:rPr>
        <w:t>has also</w:t>
      </w:r>
      <w:r w:rsidRPr="006A3B74">
        <w:rPr>
          <w:rFonts w:cs="Arial"/>
          <w:color w:val="000000" w:themeColor="text1"/>
          <w:szCs w:val="22"/>
        </w:rPr>
        <w:t xml:space="preserve"> been implicated in contributing to possible allergenicity </w:t>
      </w:r>
      <w:r w:rsidRPr="006A3B74">
        <w:rPr>
          <w:rFonts w:cs="Arial"/>
          <w:noProof/>
          <w:color w:val="000000" w:themeColor="text1"/>
          <w:szCs w:val="22"/>
        </w:rPr>
        <w:t>(Huby et al. 2000)</w:t>
      </w:r>
      <w:r>
        <w:rPr>
          <w:rFonts w:cs="Arial"/>
          <w:color w:val="000000" w:themeColor="text1"/>
          <w:szCs w:val="22"/>
        </w:rPr>
        <w:t xml:space="preserve"> since it</w:t>
      </w:r>
      <w:r w:rsidRPr="006A3B74">
        <w:rPr>
          <w:rFonts w:cs="Arial"/>
          <w:color w:val="000000" w:themeColor="text1"/>
          <w:szCs w:val="22"/>
        </w:rPr>
        <w:t xml:space="preserve"> may affect the susceptibility of a protein to processing and proteolysis and may introduce glycan peptides which are known to be highly cross-reactive epitopes</w:t>
      </w:r>
      <w:r>
        <w:rPr>
          <w:rFonts w:cs="Arial"/>
          <w:color w:val="000000" w:themeColor="text1"/>
          <w:szCs w:val="22"/>
        </w:rPr>
        <w:t xml:space="preserve"> </w:t>
      </w:r>
      <w:r>
        <w:rPr>
          <w:rFonts w:cs="Arial"/>
          <w:noProof/>
          <w:color w:val="000000" w:themeColor="text1"/>
          <w:szCs w:val="22"/>
        </w:rPr>
        <w:t>(Altmann 2007)</w:t>
      </w:r>
      <w:r w:rsidRPr="006A3B74">
        <w:rPr>
          <w:rFonts w:cs="Arial"/>
          <w:color w:val="000000" w:themeColor="text1"/>
          <w:szCs w:val="22"/>
        </w:rPr>
        <w:t xml:space="preserve">. </w:t>
      </w:r>
    </w:p>
    <w:p w14:paraId="20643BB4" w14:textId="77777777" w:rsidR="00333AC0" w:rsidRDefault="00333AC0" w:rsidP="00011A05">
      <w:pPr>
        <w:pStyle w:val="Signature"/>
        <w:tabs>
          <w:tab w:val="clear" w:pos="5130"/>
        </w:tabs>
        <w:spacing w:line="240" w:lineRule="auto"/>
        <w:ind w:left="0"/>
        <w:rPr>
          <w:rFonts w:cs="Arial"/>
          <w:color w:val="000000" w:themeColor="text1"/>
          <w:szCs w:val="22"/>
        </w:rPr>
      </w:pPr>
    </w:p>
    <w:p w14:paraId="20643BB5" w14:textId="77777777" w:rsidR="00333AC0" w:rsidRDefault="00333AC0" w:rsidP="00011A05">
      <w:pPr>
        <w:pStyle w:val="Signature"/>
        <w:tabs>
          <w:tab w:val="clear" w:pos="5130"/>
        </w:tabs>
        <w:spacing w:line="240" w:lineRule="auto"/>
        <w:ind w:left="0"/>
        <w:rPr>
          <w:rFonts w:cs="Arial"/>
          <w:color w:val="000000" w:themeColor="text1"/>
          <w:szCs w:val="22"/>
        </w:rPr>
      </w:pPr>
      <w:r w:rsidRPr="00CD6515">
        <w:rPr>
          <w:rFonts w:cs="Arial"/>
          <w:color w:val="000000" w:themeColor="text1"/>
          <w:szCs w:val="22"/>
          <w:lang w:eastAsia="en-AU"/>
        </w:rPr>
        <w:t xml:space="preserve">Glycosylation that occurs on side chains of asparagine residues is termed N-glycosylation. </w:t>
      </w:r>
      <w:r>
        <w:rPr>
          <w:rFonts w:cs="Arial"/>
          <w:color w:val="000000" w:themeColor="text1"/>
          <w:szCs w:val="22"/>
          <w:lang w:eastAsia="en-AU"/>
        </w:rPr>
        <w:t xml:space="preserve">It is commonly associated with </w:t>
      </w:r>
      <w:r w:rsidRPr="00CD6515">
        <w:rPr>
          <w:rFonts w:cs="Arial"/>
          <w:color w:val="000000" w:themeColor="text1"/>
          <w:szCs w:val="22"/>
        </w:rPr>
        <w:t xml:space="preserve">an asparagine-X-serine/threonine sequence (N-X~(P)-[S/T), where X~(P) indicates any amino acid except proline </w:t>
      </w:r>
      <w:r>
        <w:rPr>
          <w:rFonts w:cs="Arial"/>
          <w:noProof/>
          <w:color w:val="000000" w:themeColor="text1"/>
          <w:szCs w:val="22"/>
        </w:rPr>
        <w:t>(Orlando and Yang 1998)</w:t>
      </w:r>
      <w:r w:rsidRPr="00CD6515">
        <w:rPr>
          <w:rFonts w:cs="Arial"/>
          <w:color w:val="000000" w:themeColor="text1"/>
          <w:szCs w:val="22"/>
        </w:rPr>
        <w:t xml:space="preserve">. Although rare, the sequence asparagine-X-Cysteine  (N-X-C) can also be an N-glycosylation site </w:t>
      </w:r>
      <w:r>
        <w:rPr>
          <w:rFonts w:cs="Arial"/>
          <w:noProof/>
          <w:color w:val="000000" w:themeColor="text1"/>
          <w:szCs w:val="22"/>
        </w:rPr>
        <w:t>(Miletich and Broze Jr. 1990)</w:t>
      </w:r>
      <w:r>
        <w:rPr>
          <w:rFonts w:cs="Arial"/>
          <w:color w:val="000000" w:themeColor="text1"/>
          <w:szCs w:val="22"/>
        </w:rPr>
        <w:t>.</w:t>
      </w:r>
    </w:p>
    <w:p w14:paraId="20643BB6" w14:textId="77777777" w:rsidR="00333AC0" w:rsidRPr="006A3B74" w:rsidRDefault="00333AC0" w:rsidP="00011A05">
      <w:pPr>
        <w:rPr>
          <w:color w:val="000000" w:themeColor="text1"/>
          <w:szCs w:val="22"/>
          <w:u w:val="single"/>
        </w:rPr>
      </w:pPr>
    </w:p>
    <w:p w14:paraId="20643BB7" w14:textId="72061963" w:rsidR="00333AC0" w:rsidRPr="00956074" w:rsidRDefault="00333AC0" w:rsidP="00011A05">
      <w:pPr>
        <w:rPr>
          <w:rFonts w:cs="Arial"/>
          <w:color w:val="000000" w:themeColor="text1"/>
          <w:szCs w:val="22"/>
        </w:rPr>
      </w:pPr>
      <w:r>
        <w:rPr>
          <w:color w:val="000000" w:themeColor="text1"/>
          <w:szCs w:val="22"/>
        </w:rPr>
        <w:t xml:space="preserve">Sufficient amounts of either protein could not be obtained for glycostaining. Therefore only </w:t>
      </w:r>
      <w:r w:rsidRPr="00890672">
        <w:rPr>
          <w:color w:val="000000" w:themeColor="text1"/>
          <w:szCs w:val="22"/>
        </w:rPr>
        <w:t>potential</w:t>
      </w:r>
      <w:r w:rsidRPr="006960D4">
        <w:rPr>
          <w:color w:val="000000" w:themeColor="text1"/>
          <w:szCs w:val="22"/>
        </w:rPr>
        <w:t xml:space="preserve"> </w:t>
      </w:r>
      <w:r>
        <w:rPr>
          <w:color w:val="000000" w:themeColor="text1"/>
          <w:szCs w:val="22"/>
        </w:rPr>
        <w:t>N-glycosylation sites could</w:t>
      </w:r>
      <w:r w:rsidRPr="006960D4">
        <w:rPr>
          <w:color w:val="000000" w:themeColor="text1"/>
          <w:szCs w:val="22"/>
        </w:rPr>
        <w:t xml:space="preserve"> be identified </w:t>
      </w:r>
      <w:r>
        <w:rPr>
          <w:color w:val="000000" w:themeColor="text1"/>
          <w:szCs w:val="22"/>
        </w:rPr>
        <w:t xml:space="preserve">through an </w:t>
      </w:r>
      <w:r w:rsidRPr="006960D4">
        <w:rPr>
          <w:i/>
          <w:color w:val="000000" w:themeColor="text1"/>
          <w:szCs w:val="22"/>
        </w:rPr>
        <w:t>in silico</w:t>
      </w:r>
      <w:r>
        <w:rPr>
          <w:color w:val="000000" w:themeColor="text1"/>
          <w:szCs w:val="22"/>
        </w:rPr>
        <w:t xml:space="preserve"> search of the plant-expressed protein sequence through </w:t>
      </w:r>
      <w:hyperlink r:id="rId44" w:history="1">
        <w:r w:rsidRPr="003F59C0">
          <w:rPr>
            <w:rStyle w:val="Hyperlink"/>
            <w:szCs w:val="22"/>
          </w:rPr>
          <w:t>GlycoEP</w:t>
        </w:r>
      </w:hyperlink>
      <w:r>
        <w:rPr>
          <w:rStyle w:val="FootnoteReference"/>
          <w:color w:val="000000" w:themeColor="text1"/>
          <w:szCs w:val="22"/>
        </w:rPr>
        <w:footnoteReference w:id="20"/>
      </w:r>
      <w:r>
        <w:rPr>
          <w:color w:val="000000" w:themeColor="text1"/>
          <w:szCs w:val="22"/>
        </w:rPr>
        <w:t xml:space="preserve"> </w:t>
      </w:r>
      <w:r>
        <w:rPr>
          <w:noProof/>
          <w:color w:val="000000" w:themeColor="text1"/>
          <w:szCs w:val="22"/>
        </w:rPr>
        <w:t>(Chauhan et al. 2013)</w:t>
      </w:r>
      <w:r>
        <w:rPr>
          <w:color w:val="000000" w:themeColor="text1"/>
          <w:szCs w:val="22"/>
        </w:rPr>
        <w:t xml:space="preserve">. The results of the search indicate that </w:t>
      </w:r>
      <w:r w:rsidRPr="002A1D90">
        <w:rPr>
          <w:i/>
          <w:color w:val="000000" w:themeColor="text1"/>
          <w:szCs w:val="22"/>
        </w:rPr>
        <w:t>Zm</w:t>
      </w:r>
      <w:r w:rsidR="00145F8F">
        <w:rPr>
          <w:color w:val="000000" w:themeColor="text1"/>
          <w:szCs w:val="22"/>
        </w:rPr>
        <w:t>PSY1 has one potential glycosylation site and CRTI has no</w:t>
      </w:r>
      <w:r>
        <w:rPr>
          <w:color w:val="000000" w:themeColor="text1"/>
          <w:szCs w:val="22"/>
        </w:rPr>
        <w:t xml:space="preserve"> potential site</w:t>
      </w:r>
      <w:r w:rsidR="00145F8F">
        <w:rPr>
          <w:color w:val="000000" w:themeColor="text1"/>
          <w:szCs w:val="22"/>
        </w:rPr>
        <w:t>s</w:t>
      </w:r>
      <w:r>
        <w:rPr>
          <w:color w:val="000000" w:themeColor="text1"/>
          <w:szCs w:val="22"/>
        </w:rPr>
        <w:t xml:space="preserve">. While a negative result provides some surety the protein, as expressed in the plant, is unlikely to be glycosylated, a positive result does not, conversely, suggest a protein is likely to be glycosylated. In </w:t>
      </w:r>
      <w:r w:rsidRPr="00C43012">
        <w:rPr>
          <w:color w:val="000000" w:themeColor="text1"/>
          <w:szCs w:val="22"/>
        </w:rPr>
        <w:t xml:space="preserve">particular it is noted that a linear sequence search does not account for the fact that glycan attachment occurs before, and influences, protein folding and it is the folding itself, which imparts biophysical characteristics to a protein </w:t>
      </w:r>
      <w:r w:rsidRPr="00C43012">
        <w:rPr>
          <w:noProof/>
          <w:color w:val="000000" w:themeColor="text1"/>
          <w:szCs w:val="22"/>
        </w:rPr>
        <w:t>(Shental-Bechor and Levy 2008; Chuang et al. 2012)</w:t>
      </w:r>
      <w:r w:rsidRPr="00C43012">
        <w:rPr>
          <w:color w:val="000000" w:themeColor="text1"/>
          <w:szCs w:val="22"/>
        </w:rPr>
        <w:t xml:space="preserve">. Also, </w:t>
      </w:r>
      <w:r w:rsidRPr="00C43012">
        <w:rPr>
          <w:rFonts w:cs="Arial"/>
          <w:color w:val="000000" w:themeColor="text1"/>
          <w:szCs w:val="22"/>
        </w:rPr>
        <w:t>while N-glycosylation is the most common stable modification to impact the physicochemical</w:t>
      </w:r>
      <w:r>
        <w:rPr>
          <w:rFonts w:cs="Arial"/>
          <w:color w:val="000000" w:themeColor="text1"/>
          <w:szCs w:val="22"/>
        </w:rPr>
        <w:t xml:space="preserve"> properties of a protein, its occurrence is highly variable between species, environments and cells and its value as a safety assessment tool has been questioned </w:t>
      </w:r>
      <w:r>
        <w:rPr>
          <w:rFonts w:cs="Arial"/>
          <w:noProof/>
          <w:color w:val="000000" w:themeColor="text1"/>
          <w:szCs w:val="22"/>
        </w:rPr>
        <w:t>(Bushey et al. 2014)</w:t>
      </w:r>
      <w:r>
        <w:rPr>
          <w:rFonts w:cs="Arial"/>
          <w:color w:val="000000" w:themeColor="text1"/>
          <w:szCs w:val="22"/>
        </w:rPr>
        <w:t>.</w:t>
      </w:r>
    </w:p>
    <w:p w14:paraId="20643BB8" w14:textId="77777777" w:rsidR="00333AC0" w:rsidRDefault="00333AC0" w:rsidP="00011A05">
      <w:pPr>
        <w:rPr>
          <w:rFonts w:cs="Arial"/>
          <w:color w:val="000000" w:themeColor="text1"/>
          <w:szCs w:val="22"/>
        </w:rPr>
      </w:pPr>
    </w:p>
    <w:p w14:paraId="20643BB9" w14:textId="77777777" w:rsidR="00333AC0" w:rsidRDefault="00333AC0" w:rsidP="00011A05">
      <w:pPr>
        <w:rPr>
          <w:rFonts w:cs="Arial"/>
          <w:color w:val="000000" w:themeColor="text1"/>
          <w:szCs w:val="22"/>
        </w:rPr>
      </w:pPr>
      <w:r w:rsidRPr="00631337">
        <w:rPr>
          <w:rFonts w:cs="Arial"/>
          <w:i/>
          <w:color w:val="000000" w:themeColor="text1"/>
          <w:szCs w:val="22"/>
        </w:rPr>
        <w:t>Heat stability</w:t>
      </w:r>
      <w:r>
        <w:rPr>
          <w:rFonts w:cs="Arial"/>
          <w:color w:val="000000" w:themeColor="text1"/>
          <w:szCs w:val="22"/>
        </w:rPr>
        <w:t xml:space="preserve"> – </w:t>
      </w:r>
      <w:r w:rsidRPr="00B275D4">
        <w:rPr>
          <w:rFonts w:cs="Arial"/>
          <w:color w:val="000000" w:themeColor="text1"/>
          <w:szCs w:val="22"/>
        </w:rPr>
        <w:t>see Section 4.1.5.1</w:t>
      </w:r>
    </w:p>
    <w:p w14:paraId="20643BBA" w14:textId="77777777" w:rsidR="00333AC0" w:rsidRDefault="00333AC0" w:rsidP="00011A05">
      <w:pPr>
        <w:rPr>
          <w:rFonts w:cs="Arial"/>
          <w:color w:val="000000" w:themeColor="text1"/>
          <w:szCs w:val="22"/>
        </w:rPr>
      </w:pPr>
    </w:p>
    <w:p w14:paraId="20643BBB" w14:textId="77777777" w:rsidR="00333AC0" w:rsidRDefault="00333AC0" w:rsidP="00011A05">
      <w:pPr>
        <w:rPr>
          <w:rFonts w:cs="Arial"/>
          <w:color w:val="000000" w:themeColor="text1"/>
          <w:szCs w:val="22"/>
        </w:rPr>
      </w:pPr>
      <w:r>
        <w:rPr>
          <w:rFonts w:cs="Arial"/>
          <w:color w:val="000000" w:themeColor="text1"/>
          <w:szCs w:val="22"/>
        </w:rPr>
        <w:t xml:space="preserve">In vitro </w:t>
      </w:r>
      <w:r w:rsidRPr="00631337">
        <w:rPr>
          <w:rFonts w:cs="Arial"/>
          <w:i/>
          <w:color w:val="000000" w:themeColor="text1"/>
          <w:szCs w:val="22"/>
        </w:rPr>
        <w:t>digestibility</w:t>
      </w:r>
    </w:p>
    <w:p w14:paraId="20643BBC" w14:textId="77777777" w:rsidR="00333AC0" w:rsidRDefault="00333AC0" w:rsidP="00011A05">
      <w:pPr>
        <w:rPr>
          <w:rFonts w:cs="Arial"/>
          <w:color w:val="000000" w:themeColor="text1"/>
          <w:szCs w:val="22"/>
        </w:rPr>
      </w:pPr>
    </w:p>
    <w:p w14:paraId="20643BBD" w14:textId="77777777" w:rsidR="00333AC0" w:rsidRDefault="00333AC0" w:rsidP="00011A05">
      <w:pPr>
        <w:rPr>
          <w:rFonts w:cs="Arial"/>
          <w:color w:val="000000" w:themeColor="text1"/>
          <w:szCs w:val="22"/>
        </w:rPr>
      </w:pPr>
      <w:r w:rsidRPr="00204797">
        <w:rPr>
          <w:rFonts w:cs="Arial"/>
          <w:color w:val="000000" w:themeColor="text1"/>
          <w:szCs w:val="22"/>
        </w:rPr>
        <w:t xml:space="preserve">Typically, food proteins that are allergenic tend to be stable to enzymes such as pepsin and the acidic conditions of the digestive system, exposing them to the intestinal mucosa and leading </w:t>
      </w:r>
      <w:r w:rsidRPr="005E0E5A">
        <w:rPr>
          <w:rFonts w:cs="Arial"/>
          <w:color w:val="000000" w:themeColor="text1"/>
          <w:szCs w:val="22"/>
        </w:rPr>
        <w:t xml:space="preserve">to an allergic response </w:t>
      </w:r>
      <w:r>
        <w:rPr>
          <w:rFonts w:cs="Arial"/>
          <w:noProof/>
          <w:color w:val="000000" w:themeColor="text1"/>
          <w:szCs w:val="22"/>
        </w:rPr>
        <w:t>(Astwood and Fuchs 1996; Metcalfe et al. 1996; Kimber et al. 1999)</w:t>
      </w:r>
      <w:r w:rsidRPr="005E0E5A">
        <w:rPr>
          <w:rFonts w:cs="Arial"/>
          <w:color w:val="000000" w:themeColor="text1"/>
          <w:szCs w:val="22"/>
        </w:rPr>
        <w:t>. Therefore some correlation exists between resistance to digestion by pepsin and potential allergenicity although it does not necessarily follow that resistance to digestion</w:t>
      </w:r>
      <w:r>
        <w:rPr>
          <w:rFonts w:cs="Arial"/>
          <w:color w:val="000000" w:themeColor="text1"/>
          <w:szCs w:val="22"/>
        </w:rPr>
        <w:t>, or slow and limited digestibility,</w:t>
      </w:r>
      <w:r w:rsidRPr="005E0E5A">
        <w:rPr>
          <w:rFonts w:cs="Arial"/>
          <w:color w:val="000000" w:themeColor="text1"/>
          <w:szCs w:val="22"/>
        </w:rPr>
        <w:t xml:space="preserve"> is always an indicator of an allergenic protein </w:t>
      </w:r>
      <w:r>
        <w:rPr>
          <w:rFonts w:cs="Arial"/>
          <w:noProof/>
          <w:color w:val="000000" w:themeColor="text1"/>
          <w:szCs w:val="22"/>
        </w:rPr>
        <w:t>(Thomas et al. 2004; Herman et al. 2007)</w:t>
      </w:r>
      <w:r w:rsidRPr="005E0E5A">
        <w:rPr>
          <w:rFonts w:cs="Arial"/>
          <w:color w:val="000000" w:themeColor="text1"/>
          <w:szCs w:val="22"/>
        </w:rPr>
        <w:t xml:space="preserve">. As a consequence, one of the criteria for assessing potential allergenicity is to examine the stability of novel proteins in conditions mimicking human digestion. Proteins that are rapidly degraded in such conditions are considered less likely to be involved in eliciting an allergic response. </w:t>
      </w:r>
    </w:p>
    <w:p w14:paraId="20643BBE" w14:textId="77777777" w:rsidR="00333AC0" w:rsidRDefault="00333AC0" w:rsidP="00011A05">
      <w:pPr>
        <w:rPr>
          <w:rFonts w:cs="Arial"/>
          <w:color w:val="000000" w:themeColor="text1"/>
          <w:szCs w:val="22"/>
        </w:rPr>
      </w:pPr>
    </w:p>
    <w:p w14:paraId="20643BBF" w14:textId="77777777" w:rsidR="00333AC0" w:rsidRDefault="00333AC0" w:rsidP="00011A05">
      <w:pPr>
        <w:rPr>
          <w:rFonts w:cs="Arial"/>
          <w:color w:val="000000" w:themeColor="text1"/>
          <w:szCs w:val="22"/>
        </w:rPr>
      </w:pPr>
      <w:r w:rsidRPr="009B0156">
        <w:rPr>
          <w:rFonts w:cs="Arial"/>
          <w:color w:val="000000" w:themeColor="text1"/>
          <w:szCs w:val="22"/>
        </w:rPr>
        <w:t xml:space="preserve">A pepsin digestibility assay </w:t>
      </w:r>
      <w:r w:rsidRPr="009B0156">
        <w:rPr>
          <w:rFonts w:cs="Arial"/>
          <w:noProof/>
          <w:color w:val="000000" w:themeColor="text1"/>
          <w:szCs w:val="22"/>
        </w:rPr>
        <w:t>(Thomas et al. 2004)</w:t>
      </w:r>
      <w:r w:rsidRPr="009B0156">
        <w:rPr>
          <w:rFonts w:cs="Arial"/>
          <w:color w:val="000000" w:themeColor="text1"/>
          <w:szCs w:val="22"/>
        </w:rPr>
        <w:t xml:space="preserve"> was conducted on the </w:t>
      </w:r>
      <w:r w:rsidRPr="009B0156">
        <w:rPr>
          <w:rFonts w:cs="Arial"/>
          <w:i/>
          <w:color w:val="000000" w:themeColor="text1"/>
          <w:szCs w:val="22"/>
        </w:rPr>
        <w:t>Zm</w:t>
      </w:r>
      <w:r w:rsidRPr="009B0156">
        <w:rPr>
          <w:rFonts w:cs="Arial"/>
          <w:color w:val="000000" w:themeColor="text1"/>
          <w:szCs w:val="22"/>
        </w:rPr>
        <w:t xml:space="preserve">PSY1 and CRTI </w:t>
      </w:r>
      <w:r>
        <w:rPr>
          <w:rFonts w:cs="Arial"/>
          <w:color w:val="000000" w:themeColor="text1"/>
          <w:szCs w:val="22"/>
        </w:rPr>
        <w:t xml:space="preserve">fusion </w:t>
      </w:r>
      <w:r w:rsidRPr="009B0156">
        <w:rPr>
          <w:rFonts w:cs="Arial"/>
          <w:color w:val="000000" w:themeColor="text1"/>
          <w:szCs w:val="22"/>
        </w:rPr>
        <w:t xml:space="preserve">proteins (purified from a bacterial system) using </w:t>
      </w:r>
      <w:r>
        <w:rPr>
          <w:rFonts w:cs="Arial"/>
          <w:color w:val="000000" w:themeColor="text1"/>
          <w:szCs w:val="22"/>
        </w:rPr>
        <w:t xml:space="preserve">simulated gastric fluid </w:t>
      </w:r>
      <w:r w:rsidRPr="003C3A66">
        <w:rPr>
          <w:rFonts w:cs="Arial"/>
          <w:color w:val="000000" w:themeColor="text1"/>
          <w:szCs w:val="22"/>
        </w:rPr>
        <w:t>(SGF</w:t>
      </w:r>
      <w:r>
        <w:rPr>
          <w:rFonts w:cs="Arial"/>
          <w:color w:val="000000" w:themeColor="text1"/>
          <w:szCs w:val="22"/>
        </w:rPr>
        <w:t>)</w:t>
      </w:r>
      <w:r w:rsidRPr="009B0156">
        <w:rPr>
          <w:rFonts w:cs="Arial"/>
          <w:color w:val="000000" w:themeColor="text1"/>
          <w:szCs w:val="22"/>
        </w:rPr>
        <w:t xml:space="preserve"> </w:t>
      </w:r>
      <w:r w:rsidRPr="009B0156">
        <w:rPr>
          <w:rFonts w:cs="Arial"/>
          <w:noProof/>
          <w:color w:val="000000" w:themeColor="text1"/>
          <w:szCs w:val="22"/>
        </w:rPr>
        <w:t>(U.S.Pharmacopeia 2000)</w:t>
      </w:r>
      <w:r w:rsidRPr="009B0156">
        <w:rPr>
          <w:rFonts w:cs="Arial"/>
          <w:color w:val="000000" w:themeColor="text1"/>
          <w:szCs w:val="22"/>
        </w:rPr>
        <w:t>. Both proteins were incubated in SGF at 37º for 0, 0.5, 1, 2, 5, 10, 20, 30 and 60 minutes and then inactivated by addition of buffer containing β-mercaptoethanol. The samples were then run on SDS-PAGE. Proteins were visualised by Colloidal Blue staining of the resulting gels. Western blotting of the SDS gels was also perfor</w:t>
      </w:r>
      <w:r>
        <w:rPr>
          <w:rFonts w:cs="Arial"/>
          <w:color w:val="000000" w:themeColor="text1"/>
          <w:szCs w:val="22"/>
        </w:rPr>
        <w:t>med using an appropriate rabbit</w:t>
      </w:r>
      <w:r w:rsidRPr="009B0156">
        <w:rPr>
          <w:rFonts w:cs="Arial"/>
          <w:color w:val="000000" w:themeColor="text1"/>
          <w:szCs w:val="22"/>
        </w:rPr>
        <w:t xml:space="preserve"> primary antibody and a HRP-conjugated goat anti-rabbit IgG secondary antibody. </w:t>
      </w:r>
    </w:p>
    <w:p w14:paraId="20643BC0" w14:textId="77777777" w:rsidR="00333AC0" w:rsidRPr="009B0156" w:rsidRDefault="00333AC0" w:rsidP="00011A05">
      <w:pPr>
        <w:rPr>
          <w:rFonts w:cs="Arial"/>
          <w:color w:val="000000" w:themeColor="text1"/>
          <w:szCs w:val="22"/>
        </w:rPr>
      </w:pPr>
    </w:p>
    <w:p w14:paraId="20643BC1" w14:textId="77777777" w:rsidR="00333AC0" w:rsidRPr="005C4E58" w:rsidRDefault="00333AC0" w:rsidP="00011A05">
      <w:pPr>
        <w:widowControl/>
        <w:autoSpaceDE w:val="0"/>
        <w:autoSpaceDN w:val="0"/>
        <w:adjustRightInd w:val="0"/>
        <w:rPr>
          <w:rFonts w:cs="Arial"/>
          <w:color w:val="000000" w:themeColor="text1"/>
          <w:szCs w:val="22"/>
          <w:lang w:eastAsia="en-GB" w:bidi="ar-SA"/>
        </w:rPr>
      </w:pPr>
      <w:r w:rsidRPr="009B0156">
        <w:rPr>
          <w:rFonts w:cs="Arial"/>
          <w:szCs w:val="22"/>
          <w:lang w:eastAsia="en-GB" w:bidi="ar-SA"/>
        </w:rPr>
        <w:t xml:space="preserve">Following exposure to SGF containing pepsin for 30 seconds, </w:t>
      </w:r>
      <w:r>
        <w:rPr>
          <w:rFonts w:cs="Arial"/>
          <w:szCs w:val="22"/>
          <w:lang w:eastAsia="en-GB" w:bidi="ar-SA"/>
        </w:rPr>
        <w:t xml:space="preserve">the earliest time point sampled </w:t>
      </w:r>
      <w:r w:rsidRPr="009B0156">
        <w:rPr>
          <w:rFonts w:cs="Arial"/>
          <w:szCs w:val="22"/>
          <w:lang w:eastAsia="en-GB" w:bidi="ar-SA"/>
        </w:rPr>
        <w:t xml:space="preserve">during the digestion, no intact </w:t>
      </w:r>
      <w:r w:rsidRPr="009B0156">
        <w:rPr>
          <w:rFonts w:cs="Arial"/>
          <w:i/>
          <w:iCs/>
          <w:szCs w:val="22"/>
          <w:lang w:eastAsia="en-GB" w:bidi="ar-SA"/>
        </w:rPr>
        <w:t>Zm</w:t>
      </w:r>
      <w:r w:rsidRPr="009B0156">
        <w:rPr>
          <w:rFonts w:cs="Arial"/>
          <w:szCs w:val="22"/>
          <w:lang w:eastAsia="en-GB" w:bidi="ar-SA"/>
        </w:rPr>
        <w:t>PSY1 protein (</w:t>
      </w:r>
      <w:r w:rsidRPr="009B0156">
        <w:rPr>
          <w:rFonts w:cs="Arial"/>
          <w:i/>
          <w:iCs/>
          <w:szCs w:val="22"/>
          <w:lang w:eastAsia="en-GB" w:bidi="ar-SA"/>
        </w:rPr>
        <w:t>ca</w:t>
      </w:r>
      <w:r w:rsidRPr="009B0156">
        <w:rPr>
          <w:rFonts w:cs="Arial"/>
          <w:szCs w:val="22"/>
          <w:lang w:eastAsia="en-GB" w:bidi="ar-SA"/>
        </w:rPr>
        <w:t xml:space="preserve">. 42 </w:t>
      </w:r>
      <w:r>
        <w:rPr>
          <w:rFonts w:cs="Arial"/>
          <w:szCs w:val="22"/>
          <w:lang w:eastAsia="en-GB" w:bidi="ar-SA"/>
        </w:rPr>
        <w:t>kDa)</w:t>
      </w:r>
      <w:r>
        <w:rPr>
          <w:rStyle w:val="FootnoteReference"/>
          <w:rFonts w:cs="Arial"/>
          <w:szCs w:val="22"/>
          <w:lang w:eastAsia="en-GB" w:bidi="ar-SA"/>
        </w:rPr>
        <w:footnoteReference w:id="21"/>
      </w:r>
      <w:r>
        <w:rPr>
          <w:rFonts w:cs="Arial"/>
          <w:szCs w:val="22"/>
          <w:lang w:eastAsia="en-GB" w:bidi="ar-SA"/>
        </w:rPr>
        <w:t xml:space="preserve"> or CRTI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50 kDa ) </w:t>
      </w:r>
      <w:r>
        <w:rPr>
          <w:rFonts w:cs="Arial"/>
          <w:szCs w:val="22"/>
          <w:lang w:eastAsia="en-GB" w:bidi="ar-SA"/>
        </w:rPr>
        <w:t xml:space="preserve">was evident as assessed by </w:t>
      </w:r>
      <w:r w:rsidRPr="009B0156">
        <w:rPr>
          <w:rFonts w:cs="Arial"/>
          <w:szCs w:val="22"/>
          <w:lang w:eastAsia="en-GB" w:bidi="ar-SA"/>
        </w:rPr>
        <w:t>either SDS-PAGE or w</w:t>
      </w:r>
      <w:r>
        <w:rPr>
          <w:rFonts w:cs="Arial"/>
          <w:szCs w:val="22"/>
          <w:lang w:eastAsia="en-GB" w:bidi="ar-SA"/>
        </w:rPr>
        <w:t xml:space="preserve">estern immunoblot analysis. For </w:t>
      </w:r>
      <w:r w:rsidRPr="005C4E58">
        <w:rPr>
          <w:rFonts w:cs="Arial"/>
          <w:i/>
          <w:szCs w:val="22"/>
          <w:lang w:eastAsia="en-GB" w:bidi="ar-SA"/>
        </w:rPr>
        <w:t>Zm</w:t>
      </w:r>
      <w:r>
        <w:rPr>
          <w:rFonts w:cs="Arial"/>
          <w:szCs w:val="22"/>
          <w:lang w:eastAsia="en-GB" w:bidi="ar-SA"/>
        </w:rPr>
        <w:t xml:space="preserve">PSY1, </w:t>
      </w:r>
      <w:r w:rsidRPr="005C4E58">
        <w:rPr>
          <w:rFonts w:cs="Arial"/>
          <w:color w:val="000000" w:themeColor="text1"/>
          <w:szCs w:val="22"/>
          <w:lang w:eastAsia="en-GB" w:bidi="ar-SA"/>
        </w:rPr>
        <w:t>faint, low molecular weight degradation products were visible in samples incubated for up to two minutes but not at later time points, and these were not detected in the western blot.</w:t>
      </w:r>
    </w:p>
    <w:p w14:paraId="20643BC2" w14:textId="77777777" w:rsidR="00333AC0" w:rsidRPr="005C4E58" w:rsidRDefault="00333AC0" w:rsidP="00011A05">
      <w:pPr>
        <w:rPr>
          <w:rFonts w:cs="Arial"/>
          <w:color w:val="000000" w:themeColor="text1"/>
          <w:szCs w:val="22"/>
        </w:rPr>
      </w:pPr>
    </w:p>
    <w:p w14:paraId="20643BC3" w14:textId="77777777" w:rsidR="00333AC0" w:rsidRPr="009B0156" w:rsidRDefault="00333AC0" w:rsidP="00011A05">
      <w:pPr>
        <w:widowControl/>
        <w:autoSpaceDE w:val="0"/>
        <w:autoSpaceDN w:val="0"/>
        <w:adjustRightInd w:val="0"/>
        <w:rPr>
          <w:rFonts w:ascii="CharterBT-Roman" w:hAnsi="CharterBT-Roman" w:cs="CharterBT-Roman"/>
          <w:szCs w:val="22"/>
          <w:lang w:eastAsia="en-GB" w:bidi="ar-SA"/>
        </w:rPr>
      </w:pPr>
      <w:r w:rsidRPr="005C4E58">
        <w:rPr>
          <w:rFonts w:ascii="CharterBT-Roman" w:hAnsi="CharterBT-Roman" w:cs="CharterBT-Roman"/>
          <w:color w:val="000000" w:themeColor="text1"/>
          <w:szCs w:val="22"/>
          <w:lang w:eastAsia="en-GB" w:bidi="ar-SA"/>
        </w:rPr>
        <w:t xml:space="preserve">These results support the conclusion that </w:t>
      </w:r>
      <w:r w:rsidRPr="005C4E58">
        <w:rPr>
          <w:rFonts w:ascii="CharterBT-Italic" w:hAnsi="CharterBT-Italic" w:cs="CharterBT-Italic"/>
          <w:i/>
          <w:iCs/>
          <w:color w:val="000000" w:themeColor="text1"/>
          <w:szCs w:val="22"/>
          <w:lang w:eastAsia="en-GB" w:bidi="ar-SA"/>
        </w:rPr>
        <w:t>Zm</w:t>
      </w:r>
      <w:r w:rsidRPr="005C4E58">
        <w:rPr>
          <w:rFonts w:ascii="CharterBT-Roman" w:hAnsi="CharterBT-Roman" w:cs="CharterBT-Roman"/>
          <w:color w:val="000000" w:themeColor="text1"/>
          <w:szCs w:val="22"/>
          <w:lang w:eastAsia="en-GB" w:bidi="ar-SA"/>
        </w:rPr>
        <w:t>PSY1 and CRTI proteins will be readily digested in a typical mammalian gastric environment</w:t>
      </w:r>
      <w:r>
        <w:rPr>
          <w:rFonts w:ascii="CharterBT-Roman" w:hAnsi="CharterBT-Roman" w:cs="CharterBT-Roman"/>
          <w:szCs w:val="22"/>
          <w:lang w:eastAsia="en-GB" w:bidi="ar-SA"/>
        </w:rPr>
        <w:t>.</w:t>
      </w:r>
    </w:p>
    <w:p w14:paraId="20643BC4" w14:textId="77777777" w:rsidR="00333AC0" w:rsidRPr="00924E1E" w:rsidRDefault="00333AC0" w:rsidP="00011A05">
      <w:pPr>
        <w:pStyle w:val="FSCh6Subsec"/>
        <w:ind w:left="0"/>
        <w:rPr>
          <w:b w:val="0"/>
          <w:color w:val="000000" w:themeColor="text1"/>
          <w:sz w:val="22"/>
          <w:szCs w:val="22"/>
        </w:rPr>
      </w:pPr>
      <w:r w:rsidRPr="00924E1E">
        <w:rPr>
          <w:color w:val="000000" w:themeColor="text1"/>
          <w:sz w:val="22"/>
          <w:szCs w:val="22"/>
        </w:rPr>
        <w:t>4.1.5.3</w:t>
      </w:r>
      <w:r w:rsidRPr="00924E1E">
        <w:rPr>
          <w:color w:val="000000" w:themeColor="text1"/>
          <w:sz w:val="22"/>
          <w:szCs w:val="22"/>
        </w:rPr>
        <w:tab/>
        <w:t>Safety of the PMI protein</w:t>
      </w:r>
    </w:p>
    <w:p w14:paraId="20643BC5" w14:textId="77777777" w:rsidR="00333AC0" w:rsidRDefault="00333AC0" w:rsidP="00011A05">
      <w:pPr>
        <w:rPr>
          <w:rFonts w:cs="Arial"/>
          <w:color w:val="000000" w:themeColor="text1"/>
          <w:szCs w:val="22"/>
        </w:rPr>
      </w:pPr>
    </w:p>
    <w:p w14:paraId="20643BC6" w14:textId="77777777" w:rsidR="00333AC0" w:rsidRPr="00B275D4" w:rsidRDefault="00333AC0" w:rsidP="00011A05">
      <w:r w:rsidRPr="00262CF4">
        <w:rPr>
          <w:rFonts w:eastAsia="Batang" w:cs="Arial"/>
          <w:color w:val="000000" w:themeColor="text1"/>
          <w:szCs w:val="22"/>
        </w:rPr>
        <w:t xml:space="preserve">The </w:t>
      </w:r>
      <w:r>
        <w:rPr>
          <w:rFonts w:eastAsia="Batang" w:cs="Arial"/>
          <w:color w:val="000000" w:themeColor="text1"/>
          <w:szCs w:val="22"/>
        </w:rPr>
        <w:t>PMI</w:t>
      </w:r>
      <w:r w:rsidRPr="00262CF4">
        <w:rPr>
          <w:rFonts w:eastAsia="Batang" w:cs="Arial"/>
          <w:color w:val="000000" w:themeColor="text1"/>
          <w:szCs w:val="22"/>
        </w:rPr>
        <w:t xml:space="preserve"> protein </w:t>
      </w:r>
      <w:r>
        <w:rPr>
          <w:rFonts w:eastAsia="Batang" w:cs="Arial"/>
          <w:color w:val="000000" w:themeColor="text1"/>
          <w:szCs w:val="22"/>
        </w:rPr>
        <w:t>has been previously assessed by FSANZ</w:t>
      </w:r>
      <w:r>
        <w:t xml:space="preserve"> in corn lines MIR604 – Application A564 </w:t>
      </w:r>
      <w:r>
        <w:rPr>
          <w:noProof/>
        </w:rPr>
        <w:t>(FSANZ 2006)</w:t>
      </w:r>
      <w:r>
        <w:t xml:space="preserve">, MIR162 – Application A1001 </w:t>
      </w:r>
      <w:r>
        <w:rPr>
          <w:noProof/>
        </w:rPr>
        <w:t>(FSANZ 2008a)</w:t>
      </w:r>
      <w:r>
        <w:t xml:space="preserve">, 3272 – Application A580 </w:t>
      </w:r>
      <w:r>
        <w:rPr>
          <w:noProof/>
        </w:rPr>
        <w:t>(FSANZ 2008b)</w:t>
      </w:r>
      <w:r>
        <w:t xml:space="preserve"> and 5307 – </w:t>
      </w:r>
      <w:r w:rsidRPr="001740B2">
        <w:t xml:space="preserve">Application A1060 </w:t>
      </w:r>
      <w:r w:rsidRPr="001740B2">
        <w:rPr>
          <w:noProof/>
        </w:rPr>
        <w:t>(FSANZ 2012)</w:t>
      </w:r>
      <w:r w:rsidRPr="001740B2">
        <w:t>. In all of these applications, studies on potential toxicity and allergenicity were submitted, the most recent of which were for A1060. Since no concerns were raised and since the sequence of the protein expressed in GR2E is identical to the PMI sequence expres</w:t>
      </w:r>
      <w:r>
        <w:t>sed in three of the corn lines (</w:t>
      </w:r>
      <w:r w:rsidRPr="00B275D4">
        <w:t>see Section 4.1.2), no further safety evaluation is required other than the examination of updated bioinformatics searches.</w:t>
      </w:r>
    </w:p>
    <w:p w14:paraId="20643BC7" w14:textId="77777777" w:rsidR="00333AC0" w:rsidRPr="00B275D4" w:rsidRDefault="00333AC0" w:rsidP="00011A05"/>
    <w:p w14:paraId="20643BC8" w14:textId="77777777" w:rsidR="00333AC0" w:rsidRPr="00B275D4" w:rsidRDefault="00333AC0" w:rsidP="00011A05">
      <w:pPr>
        <w:pBdr>
          <w:top w:val="single" w:sz="4" w:space="1" w:color="auto"/>
          <w:left w:val="single" w:sz="4" w:space="4" w:color="auto"/>
          <w:bottom w:val="single" w:sz="4" w:space="1" w:color="auto"/>
          <w:right w:val="single" w:sz="4" w:space="4" w:color="auto"/>
        </w:pBdr>
        <w:rPr>
          <w:b/>
          <w:sz w:val="20"/>
          <w:szCs w:val="20"/>
        </w:rPr>
      </w:pPr>
      <w:r w:rsidRPr="00B275D4">
        <w:rPr>
          <w:b/>
          <w:sz w:val="20"/>
          <w:szCs w:val="20"/>
        </w:rPr>
        <w:t>Bioinformatics Studies submitted</w:t>
      </w:r>
    </w:p>
    <w:p w14:paraId="20643BC9" w14:textId="77777777" w:rsidR="00333AC0" w:rsidRPr="00B275D4" w:rsidRDefault="00333AC0" w:rsidP="00011A05">
      <w:pPr>
        <w:pBdr>
          <w:top w:val="single" w:sz="4" w:space="1" w:color="auto"/>
          <w:left w:val="single" w:sz="4" w:space="4" w:color="auto"/>
          <w:bottom w:val="single" w:sz="4" w:space="1" w:color="auto"/>
          <w:right w:val="single" w:sz="4" w:space="4" w:color="auto"/>
        </w:pBdr>
        <w:rPr>
          <w:sz w:val="20"/>
          <w:szCs w:val="20"/>
        </w:rPr>
      </w:pPr>
    </w:p>
    <w:p w14:paraId="20643BCA" w14:textId="77777777" w:rsidR="00333AC0" w:rsidRPr="00B275D4" w:rsidRDefault="00333AC0" w:rsidP="00011A05">
      <w:pPr>
        <w:pBdr>
          <w:top w:val="single" w:sz="4" w:space="1" w:color="auto"/>
          <w:left w:val="single" w:sz="4" w:space="4" w:color="auto"/>
          <w:bottom w:val="single" w:sz="4" w:space="1" w:color="auto"/>
          <w:right w:val="single" w:sz="4" w:space="4" w:color="auto"/>
        </w:pBdr>
        <w:ind w:left="284" w:hanging="284"/>
        <w:rPr>
          <w:rFonts w:cs="Arial"/>
          <w:color w:val="000000" w:themeColor="text1"/>
          <w:sz w:val="20"/>
          <w:szCs w:val="20"/>
        </w:rPr>
      </w:pPr>
      <w:r w:rsidRPr="00B275D4">
        <w:rPr>
          <w:rFonts w:cs="Arial"/>
          <w:color w:val="000000" w:themeColor="text1"/>
          <w:sz w:val="20"/>
          <w:szCs w:val="20"/>
        </w:rPr>
        <w:t>2016. Phosphomannose isomerase: Assessment of amino acid sequence similarity to known or putative allergens. Report Number SSB-124-16 (unpublished) Syngenta Crop Protection LLC, North Carolina, USA</w:t>
      </w:r>
    </w:p>
    <w:p w14:paraId="20643BCB" w14:textId="77777777" w:rsidR="00333AC0" w:rsidRPr="00B275D4" w:rsidRDefault="00333AC0" w:rsidP="00011A05">
      <w:pPr>
        <w:pBdr>
          <w:top w:val="single" w:sz="4" w:space="1" w:color="auto"/>
          <w:left w:val="single" w:sz="4" w:space="4" w:color="auto"/>
          <w:bottom w:val="single" w:sz="4" w:space="1" w:color="auto"/>
          <w:right w:val="single" w:sz="4" w:space="4" w:color="auto"/>
        </w:pBdr>
        <w:ind w:left="284" w:hanging="284"/>
        <w:rPr>
          <w:rFonts w:cs="Arial"/>
          <w:color w:val="000000" w:themeColor="text1"/>
          <w:sz w:val="20"/>
          <w:szCs w:val="20"/>
        </w:rPr>
      </w:pPr>
    </w:p>
    <w:p w14:paraId="20643BCC" w14:textId="77777777" w:rsidR="00333AC0" w:rsidRPr="00B275D4" w:rsidRDefault="00333AC0" w:rsidP="00011A05">
      <w:pPr>
        <w:pBdr>
          <w:top w:val="single" w:sz="4" w:space="1" w:color="auto"/>
          <w:left w:val="single" w:sz="4" w:space="4" w:color="auto"/>
          <w:bottom w:val="single" w:sz="4" w:space="1" w:color="auto"/>
          <w:right w:val="single" w:sz="4" w:space="4" w:color="auto"/>
        </w:pBdr>
        <w:ind w:left="284" w:hanging="284"/>
        <w:rPr>
          <w:rFonts w:cs="Arial"/>
          <w:color w:val="000000" w:themeColor="text1"/>
          <w:sz w:val="20"/>
          <w:szCs w:val="20"/>
        </w:rPr>
      </w:pPr>
      <w:r w:rsidRPr="00B275D4">
        <w:rPr>
          <w:rFonts w:cs="Arial"/>
          <w:color w:val="000000" w:themeColor="text1"/>
          <w:sz w:val="20"/>
          <w:szCs w:val="20"/>
        </w:rPr>
        <w:t>2016. Phosphomannose isomerase: Assessment of amino acid sequence similarity to known or putative toxins. Report Number SSB-130-16 A1 (unpublished) Syngenta Crop Protection LLC, North Carolina, USA</w:t>
      </w:r>
    </w:p>
    <w:p w14:paraId="20643BCD" w14:textId="77777777" w:rsidR="00333AC0" w:rsidRPr="00B275D4" w:rsidRDefault="00333AC0" w:rsidP="00011A05"/>
    <w:p w14:paraId="20643BCE" w14:textId="77777777" w:rsidR="00333AC0" w:rsidRPr="00FB4E5D" w:rsidRDefault="00333AC0" w:rsidP="00011A05">
      <w:pPr>
        <w:widowControl/>
        <w:autoSpaceDE w:val="0"/>
        <w:autoSpaceDN w:val="0"/>
        <w:adjustRightInd w:val="0"/>
        <w:rPr>
          <w:rFonts w:cs="Arial"/>
          <w:szCs w:val="22"/>
          <w:lang w:eastAsia="en-GB" w:bidi="ar-SA"/>
        </w:rPr>
      </w:pPr>
      <w:r w:rsidRPr="00B275D4">
        <w:rPr>
          <w:rFonts w:cs="Arial"/>
          <w:color w:val="000000" w:themeColor="text1"/>
          <w:szCs w:val="22"/>
        </w:rPr>
        <w:t xml:space="preserve">The PMI sequence (Figure 10) was compared with all known putative allergen and celiac sequences residing in a reference allergen database, (FARRP version 16, released on 27 January 2016 – containing 1,956 non-redundant entries) using the FASTA algorithm and BLOSUM50 scoring matrix (refer to Section 4.1.5.1). </w:t>
      </w:r>
      <w:r w:rsidRPr="00B275D4">
        <w:rPr>
          <w:rFonts w:cs="Arial"/>
          <w:szCs w:val="22"/>
          <w:lang w:eastAsia="en-GB" w:bidi="ar-SA"/>
        </w:rPr>
        <w:t>A second search for matches of eight or more contiguous amino acids was conducted to screen for short, local regions of amino acid identity that might indicate the presence of common immunoglobulin E epitopes</w:t>
      </w:r>
    </w:p>
    <w:p w14:paraId="20643BCF" w14:textId="77777777" w:rsidR="00333AC0" w:rsidRPr="00FB4E5D" w:rsidRDefault="00333AC0" w:rsidP="00011A05">
      <w:pPr>
        <w:rPr>
          <w:rFonts w:cs="Arial"/>
          <w:color w:val="000000" w:themeColor="text1"/>
          <w:szCs w:val="22"/>
        </w:rPr>
      </w:pPr>
    </w:p>
    <w:p w14:paraId="20643BD0" w14:textId="77777777" w:rsidR="00333AC0" w:rsidRDefault="00333AC0" w:rsidP="00011A05">
      <w:pPr>
        <w:widowControl/>
        <w:autoSpaceDE w:val="0"/>
        <w:autoSpaceDN w:val="0"/>
        <w:adjustRightInd w:val="0"/>
        <w:rPr>
          <w:rFonts w:cs="Arial"/>
          <w:szCs w:val="22"/>
          <w:lang w:eastAsia="en-GB" w:bidi="ar-SA"/>
        </w:rPr>
      </w:pPr>
      <w:r w:rsidRPr="008A1158">
        <w:rPr>
          <w:rFonts w:cs="Arial"/>
          <w:szCs w:val="22"/>
          <w:lang w:eastAsia="en-GB" w:bidi="ar-SA"/>
        </w:rPr>
        <w:t xml:space="preserve">No significant sequence similarity was observed between the PMI amino acid sequence and any entry in the Database. The FASTA search returned 15 alignments with </w:t>
      </w:r>
      <w:r w:rsidRPr="008A1158">
        <w:rPr>
          <w:rFonts w:cs="Arial"/>
          <w:i/>
          <w:iCs/>
          <w:szCs w:val="22"/>
          <w:lang w:eastAsia="en-GB" w:bidi="ar-SA"/>
        </w:rPr>
        <w:t>E</w:t>
      </w:r>
      <w:r w:rsidRPr="008A1158">
        <w:rPr>
          <w:rFonts w:cs="Arial"/>
          <w:szCs w:val="22"/>
          <w:lang w:eastAsia="en-GB" w:bidi="ar-SA"/>
        </w:rPr>
        <w:t xml:space="preserve">-values less than 10, none of which exceeded the minimum significance criteria of 35.0 % shared identity over a minimum of 80 amino acids. There was one sequence identity match of eight contiguous identical amino acids between PMI and a known allergen, α-parvalbumin from an unidentified </w:t>
      </w:r>
      <w:r w:rsidRPr="008A1158">
        <w:rPr>
          <w:rFonts w:cs="Arial"/>
          <w:i/>
          <w:iCs/>
          <w:szCs w:val="22"/>
          <w:lang w:eastAsia="en-GB" w:bidi="ar-SA"/>
        </w:rPr>
        <w:t xml:space="preserve">Rana </w:t>
      </w:r>
      <w:r w:rsidRPr="008A1158">
        <w:rPr>
          <w:rFonts w:cs="Arial"/>
          <w:iCs/>
          <w:szCs w:val="22"/>
          <w:lang w:eastAsia="en-GB" w:bidi="ar-SA"/>
        </w:rPr>
        <w:t>(frog)</w:t>
      </w:r>
      <w:r w:rsidRPr="008A1158">
        <w:rPr>
          <w:rFonts w:cs="Arial"/>
          <w:i/>
          <w:iCs/>
          <w:szCs w:val="22"/>
          <w:lang w:eastAsia="en-GB" w:bidi="ar-SA"/>
        </w:rPr>
        <w:t xml:space="preserve"> </w:t>
      </w:r>
      <w:r w:rsidRPr="008A1158">
        <w:rPr>
          <w:rFonts w:cs="Arial"/>
          <w:szCs w:val="22"/>
          <w:lang w:eastAsia="en-GB" w:bidi="ar-SA"/>
        </w:rPr>
        <w:t>species. This alignment has been previously reported in assessments of the sequence similarity of PMI to known and putative allergens</w:t>
      </w:r>
      <w:r>
        <w:rPr>
          <w:rFonts w:cs="Arial"/>
          <w:szCs w:val="22"/>
          <w:lang w:eastAsia="en-GB" w:bidi="ar-SA"/>
        </w:rPr>
        <w:t xml:space="preserve"> </w:t>
      </w:r>
      <w:r w:rsidRPr="001740B2">
        <w:rPr>
          <w:noProof/>
        </w:rPr>
        <w:t>(FSANZ 2012)</w:t>
      </w:r>
      <w:r w:rsidRPr="008A1158">
        <w:rPr>
          <w:rFonts w:cs="Arial"/>
          <w:szCs w:val="22"/>
          <w:lang w:eastAsia="en-GB" w:bidi="ar-SA"/>
        </w:rPr>
        <w:t xml:space="preserve">. Further investigation using serum IgE screening demonstrated no cross-reactivity between PMI and the α-parvalbumin protein using serum from the single individual known to have demonstrated IgE-mediated allergy to this specific α-parvalbumin from the </w:t>
      </w:r>
      <w:r w:rsidRPr="008A1158">
        <w:rPr>
          <w:rFonts w:cs="Arial"/>
          <w:i/>
          <w:iCs/>
          <w:szCs w:val="22"/>
          <w:lang w:eastAsia="en-GB" w:bidi="ar-SA"/>
        </w:rPr>
        <w:t xml:space="preserve">Rana </w:t>
      </w:r>
      <w:r w:rsidRPr="008A1158">
        <w:rPr>
          <w:rFonts w:cs="Arial"/>
          <w:szCs w:val="22"/>
          <w:lang w:eastAsia="en-GB" w:bidi="ar-SA"/>
        </w:rPr>
        <w:t>species. The results indicated that the allergic patient’s serum IgE does not recognize any portion of PMI as an allergenic epitope.</w:t>
      </w:r>
      <w:r>
        <w:rPr>
          <w:rFonts w:cs="Arial"/>
          <w:szCs w:val="22"/>
          <w:lang w:eastAsia="en-GB" w:bidi="ar-SA"/>
        </w:rPr>
        <w:t xml:space="preserve"> </w:t>
      </w:r>
    </w:p>
    <w:p w14:paraId="20643BD1" w14:textId="77777777" w:rsidR="00333AC0" w:rsidRDefault="00333AC0" w:rsidP="00011A05"/>
    <w:p w14:paraId="20643BD2" w14:textId="77777777" w:rsidR="00333AC0" w:rsidRPr="007F0831" w:rsidRDefault="00333AC0" w:rsidP="00011A05">
      <w:pPr>
        <w:autoSpaceDE w:val="0"/>
        <w:autoSpaceDN w:val="0"/>
        <w:adjustRightInd w:val="0"/>
        <w:rPr>
          <w:rFonts w:cs="Arial"/>
          <w:iCs/>
          <w:szCs w:val="22"/>
        </w:rPr>
      </w:pPr>
      <w:r w:rsidRPr="007F0831">
        <w:rPr>
          <w:rFonts w:cs="Arial"/>
          <w:szCs w:val="22"/>
        </w:rPr>
        <w:t xml:space="preserve">Using the BLASTP algorithm, the PMI sequence was also used to search the </w:t>
      </w:r>
      <w:hyperlink r:id="rId45" w:history="1">
        <w:r w:rsidRPr="007F0831">
          <w:rPr>
            <w:rStyle w:val="Hyperlink"/>
            <w:rFonts w:cs="Arial"/>
            <w:szCs w:val="22"/>
          </w:rPr>
          <w:t>NCBI Entrez® Protein Database</w:t>
        </w:r>
      </w:hyperlink>
      <w:r w:rsidRPr="007F0831">
        <w:rPr>
          <w:rStyle w:val="FootnoteReference"/>
          <w:rFonts w:cs="Arial"/>
          <w:szCs w:val="22"/>
        </w:rPr>
        <w:footnoteReference w:id="22"/>
      </w:r>
      <w:r w:rsidRPr="007F0831">
        <w:rPr>
          <w:rFonts w:cs="Arial"/>
          <w:szCs w:val="22"/>
        </w:rPr>
        <w:t xml:space="preserve"> (containing 83,737,374 sequences – accessed on 24 March 2016) and an in-house toxin database (created as a sub-set of the NCBI database using filtering of keywords) for similarities to known or putative toxins. </w:t>
      </w:r>
      <w:r w:rsidRPr="007F0831">
        <w:rPr>
          <w:rFonts w:cs="Arial"/>
          <w:iCs/>
          <w:szCs w:val="22"/>
        </w:rPr>
        <w:t xml:space="preserve">Of a total of 1000 sequences identified in the NCBI database as having significant amino acid similarity to PMI, 999 alignments were to proteins from 115 different species. These alignments were to PMI or related proteins. The remaining sequence </w:t>
      </w:r>
      <w:r w:rsidRPr="007F0831">
        <w:rPr>
          <w:rFonts w:cs="Arial"/>
          <w:szCs w:val="22"/>
          <w:lang w:eastAsia="en-GB" w:bidi="ar-SA"/>
        </w:rPr>
        <w:t xml:space="preserve">was identified as originating from a plant transformation vector. </w:t>
      </w:r>
      <w:r w:rsidRPr="007F0831">
        <w:rPr>
          <w:rFonts w:cs="Arial"/>
          <w:iCs/>
          <w:szCs w:val="22"/>
        </w:rPr>
        <w:t>No alignments were obtained from the search of the in-house, toxin-specific database.</w:t>
      </w:r>
    </w:p>
    <w:p w14:paraId="20643BD3" w14:textId="77777777" w:rsidR="00333AC0" w:rsidRPr="007F0831" w:rsidRDefault="00333AC0" w:rsidP="00011A05">
      <w:pPr>
        <w:rPr>
          <w:rFonts w:cs="Arial"/>
          <w:szCs w:val="22"/>
        </w:rPr>
      </w:pPr>
    </w:p>
    <w:p w14:paraId="20643BD4" w14:textId="77777777" w:rsidR="00333AC0" w:rsidRPr="007F0831" w:rsidRDefault="00333AC0" w:rsidP="00011A05">
      <w:pPr>
        <w:widowControl/>
        <w:autoSpaceDE w:val="0"/>
        <w:autoSpaceDN w:val="0"/>
        <w:adjustRightInd w:val="0"/>
        <w:rPr>
          <w:rFonts w:cs="Arial"/>
          <w:szCs w:val="22"/>
          <w:lang w:eastAsia="en-GB" w:bidi="ar-SA"/>
        </w:rPr>
      </w:pPr>
      <w:r w:rsidRPr="008A1158">
        <w:rPr>
          <w:rFonts w:cs="Arial"/>
          <w:szCs w:val="22"/>
          <w:lang w:eastAsia="en-GB" w:bidi="ar-SA"/>
        </w:rPr>
        <w:t xml:space="preserve">These results support the conclusion that PMI shares no biologically relevant amino acid sequence similarity to </w:t>
      </w:r>
      <w:r>
        <w:rPr>
          <w:rFonts w:cs="Arial"/>
          <w:szCs w:val="22"/>
          <w:lang w:eastAsia="en-GB" w:bidi="ar-SA"/>
        </w:rPr>
        <w:t xml:space="preserve">either </w:t>
      </w:r>
      <w:r w:rsidRPr="008A1158">
        <w:rPr>
          <w:rFonts w:cs="Arial"/>
          <w:szCs w:val="22"/>
          <w:lang w:eastAsia="en-GB" w:bidi="ar-SA"/>
        </w:rPr>
        <w:t>know</w:t>
      </w:r>
      <w:r>
        <w:rPr>
          <w:rFonts w:cs="Arial"/>
          <w:szCs w:val="22"/>
          <w:lang w:eastAsia="en-GB" w:bidi="ar-SA"/>
        </w:rPr>
        <w:t>n or putative protein allergens or known or putative</w:t>
      </w:r>
      <w:r>
        <w:rPr>
          <w:rFonts w:cs="Arial"/>
          <w:iCs/>
          <w:szCs w:val="22"/>
        </w:rPr>
        <w:t xml:space="preserve"> protein toxins.</w:t>
      </w:r>
    </w:p>
    <w:p w14:paraId="20643BD5" w14:textId="77777777" w:rsidR="00333AC0" w:rsidRDefault="00333AC0" w:rsidP="00011A05">
      <w:pPr>
        <w:pStyle w:val="Heading3"/>
      </w:pPr>
      <w:r>
        <w:t>4.1.6</w:t>
      </w:r>
      <w:r>
        <w:tab/>
        <w:t>Bioinformatic analyses of potential ORFs created by the transformation procedure</w:t>
      </w:r>
    </w:p>
    <w:p w14:paraId="20643BD6" w14:textId="77777777" w:rsidR="00333AC0" w:rsidRPr="00636FCE" w:rsidRDefault="00333AC0" w:rsidP="00011A05">
      <w:pPr>
        <w:pBdr>
          <w:top w:val="single" w:sz="4" w:space="1" w:color="auto"/>
          <w:left w:val="single" w:sz="4" w:space="4" w:color="auto"/>
          <w:bottom w:val="single" w:sz="4" w:space="1" w:color="auto"/>
          <w:right w:val="single" w:sz="4" w:space="4" w:color="auto"/>
        </w:pBdr>
        <w:rPr>
          <w:b/>
          <w:color w:val="000000" w:themeColor="text1"/>
          <w:sz w:val="20"/>
          <w:szCs w:val="20"/>
        </w:rPr>
      </w:pPr>
      <w:r>
        <w:rPr>
          <w:b/>
          <w:color w:val="000000" w:themeColor="text1"/>
          <w:sz w:val="20"/>
          <w:szCs w:val="20"/>
        </w:rPr>
        <w:t>Study</w:t>
      </w:r>
      <w:r w:rsidRPr="00636FCE">
        <w:rPr>
          <w:b/>
          <w:color w:val="000000" w:themeColor="text1"/>
          <w:sz w:val="20"/>
          <w:szCs w:val="20"/>
        </w:rPr>
        <w:t xml:space="preserve"> submitted:</w:t>
      </w:r>
    </w:p>
    <w:p w14:paraId="20643BD7" w14:textId="77777777" w:rsidR="00333AC0" w:rsidRPr="00D01F5D" w:rsidRDefault="00333AC0" w:rsidP="00011A05">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20643BD8" w14:textId="77777777" w:rsidR="00333AC0" w:rsidRPr="00D01F5D"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sz w:val="20"/>
          <w:szCs w:val="20"/>
          <w:lang w:eastAsia="en-GB" w:bidi="ar-SA"/>
        </w:rPr>
      </w:pPr>
      <w:r>
        <w:rPr>
          <w:rFonts w:cs="Arial"/>
          <w:sz w:val="20"/>
          <w:szCs w:val="20"/>
          <w:lang w:eastAsia="en-GB" w:bidi="ar-SA"/>
        </w:rPr>
        <w:t>2015</w:t>
      </w:r>
      <w:r w:rsidRPr="00D01F5D">
        <w:rPr>
          <w:rFonts w:cs="Arial"/>
          <w:sz w:val="20"/>
          <w:szCs w:val="20"/>
          <w:lang w:eastAsia="en-GB" w:bidi="ar-SA"/>
        </w:rPr>
        <w:t>. Nucleotide sequence analysis of the inserted DNA and host genomic flanking regions in rice event IR-ØØGR2E-5. Technical report, IR2015-08001 (unpublished) International Rice Research Institute, Los Banos, Laguna, Philippines</w:t>
      </w:r>
    </w:p>
    <w:p w14:paraId="20643BD9" w14:textId="77777777" w:rsidR="00333AC0" w:rsidRDefault="00333AC0" w:rsidP="00011A05">
      <w:pPr>
        <w:rPr>
          <w:rFonts w:cs="Arial"/>
          <w:color w:val="000000" w:themeColor="text1"/>
          <w:szCs w:val="22"/>
        </w:rPr>
      </w:pPr>
    </w:p>
    <w:p w14:paraId="20643BDA" w14:textId="77777777" w:rsidR="00333AC0" w:rsidRPr="00B275D4" w:rsidRDefault="00333AC0" w:rsidP="00011A05">
      <w:pPr>
        <w:rPr>
          <w:rFonts w:cs="Arial"/>
          <w:color w:val="000000" w:themeColor="text1"/>
          <w:szCs w:val="22"/>
        </w:rPr>
      </w:pPr>
      <w:r w:rsidRPr="00F76F60">
        <w:rPr>
          <w:rFonts w:cs="Arial"/>
          <w:color w:val="000000" w:themeColor="text1"/>
          <w:szCs w:val="22"/>
        </w:rPr>
        <w:t>Bioinformatics analyses were performed to assess the similarity to known allergens and toxins of the putative polypeptides encoded by the two identified ORFs in the flanking regions of the GR2E insert (</w:t>
      </w:r>
      <w:r w:rsidRPr="00B275D4">
        <w:rPr>
          <w:rFonts w:cs="Arial"/>
          <w:color w:val="000000" w:themeColor="text1"/>
          <w:szCs w:val="22"/>
        </w:rPr>
        <w:t>see Section 3.4.4).</w:t>
      </w:r>
    </w:p>
    <w:p w14:paraId="20643BDB" w14:textId="77777777" w:rsidR="00333AC0" w:rsidRPr="00B275D4" w:rsidRDefault="00333AC0" w:rsidP="00011A05">
      <w:pPr>
        <w:rPr>
          <w:rFonts w:cs="Arial"/>
          <w:color w:val="000000" w:themeColor="text1"/>
          <w:szCs w:val="22"/>
        </w:rPr>
      </w:pPr>
    </w:p>
    <w:p w14:paraId="20643BDC" w14:textId="77777777" w:rsidR="00333AC0" w:rsidRDefault="00333AC0" w:rsidP="00011A05">
      <w:pPr>
        <w:rPr>
          <w:rFonts w:cs="Arial"/>
          <w:color w:val="000000" w:themeColor="text1"/>
          <w:szCs w:val="22"/>
        </w:rPr>
      </w:pPr>
      <w:r w:rsidRPr="00B275D4">
        <w:rPr>
          <w:rFonts w:cs="Arial"/>
          <w:color w:val="000000" w:themeColor="text1"/>
          <w:szCs w:val="22"/>
        </w:rPr>
        <w:t>The bioinformatics analyses were carried out by comparing the sequences of the two ORFs with sequences present in the same databases as described for the toxin and allergen searches in Sections 4.1.5.1 and 4.1.5.2. respectively, and using the same FASTA36 algorithm and BLOSOM50 scoring matrix.</w:t>
      </w:r>
    </w:p>
    <w:p w14:paraId="20643BDD" w14:textId="77777777" w:rsidR="00333AC0" w:rsidRPr="004B77F6" w:rsidRDefault="00333AC0" w:rsidP="00011A05">
      <w:pPr>
        <w:rPr>
          <w:rFonts w:cs="Arial"/>
          <w:color w:val="000000" w:themeColor="text1"/>
          <w:szCs w:val="22"/>
        </w:rPr>
      </w:pPr>
    </w:p>
    <w:p w14:paraId="20643BDE" w14:textId="77777777" w:rsidR="00333AC0" w:rsidRPr="004B77F6" w:rsidRDefault="00333AC0" w:rsidP="00011A05">
      <w:pPr>
        <w:widowControl/>
        <w:autoSpaceDE w:val="0"/>
        <w:autoSpaceDN w:val="0"/>
        <w:adjustRightInd w:val="0"/>
        <w:rPr>
          <w:rFonts w:cs="Arial"/>
          <w:szCs w:val="22"/>
          <w:lang w:eastAsia="en-GB" w:bidi="ar-SA"/>
        </w:rPr>
      </w:pPr>
      <w:r w:rsidRPr="004B77F6">
        <w:rPr>
          <w:rFonts w:cs="Arial"/>
          <w:color w:val="000000" w:themeColor="text1"/>
          <w:szCs w:val="22"/>
        </w:rPr>
        <w:t xml:space="preserve">For the toxin search, no </w:t>
      </w:r>
      <w:r w:rsidRPr="004B77F6">
        <w:rPr>
          <w:rFonts w:cs="Arial"/>
          <w:szCs w:val="22"/>
          <w:lang w:eastAsia="en-GB" w:bidi="ar-SA"/>
        </w:rPr>
        <w:t xml:space="preserve">entries were returned with an </w:t>
      </w:r>
      <w:r w:rsidRPr="004B77F6">
        <w:rPr>
          <w:rFonts w:cs="Arial"/>
          <w:i/>
          <w:iCs/>
          <w:szCs w:val="22"/>
          <w:lang w:eastAsia="en-GB" w:bidi="ar-SA"/>
        </w:rPr>
        <w:t>E</w:t>
      </w:r>
      <w:r w:rsidRPr="004B77F6">
        <w:rPr>
          <w:rFonts w:cs="Arial"/>
          <w:szCs w:val="22"/>
          <w:lang w:eastAsia="en-GB" w:bidi="ar-SA"/>
        </w:rPr>
        <w:t>-score less than 1 × 10</w:t>
      </w:r>
      <w:r w:rsidRPr="004B77F6">
        <w:rPr>
          <w:rFonts w:cs="Arial"/>
          <w:szCs w:val="22"/>
          <w:vertAlign w:val="superscript"/>
          <w:lang w:eastAsia="en-GB" w:bidi="ar-SA"/>
        </w:rPr>
        <w:t>−5</w:t>
      </w:r>
      <w:r w:rsidRPr="004B77F6">
        <w:rPr>
          <w:rFonts w:cs="Arial"/>
          <w:szCs w:val="22"/>
          <w:lang w:eastAsia="en-GB" w:bidi="ar-SA"/>
        </w:rPr>
        <w:t xml:space="preserve"> i.e. neither ORF has similarity with known toxins that are harmful to human health.</w:t>
      </w:r>
    </w:p>
    <w:p w14:paraId="20643BDF" w14:textId="77777777" w:rsidR="00333AC0" w:rsidRPr="004B77F6" w:rsidRDefault="00333AC0" w:rsidP="00011A05">
      <w:pPr>
        <w:widowControl/>
        <w:autoSpaceDE w:val="0"/>
        <w:autoSpaceDN w:val="0"/>
        <w:adjustRightInd w:val="0"/>
        <w:rPr>
          <w:rFonts w:cs="Arial"/>
          <w:szCs w:val="22"/>
          <w:lang w:eastAsia="en-GB" w:bidi="ar-SA"/>
        </w:rPr>
      </w:pPr>
    </w:p>
    <w:p w14:paraId="20643BE0" w14:textId="77777777" w:rsidR="00333AC0" w:rsidRPr="004B77F6" w:rsidRDefault="00333AC0" w:rsidP="00011A05">
      <w:pPr>
        <w:widowControl/>
        <w:autoSpaceDE w:val="0"/>
        <w:autoSpaceDN w:val="0"/>
        <w:adjustRightInd w:val="0"/>
        <w:rPr>
          <w:rFonts w:cs="Arial"/>
          <w:szCs w:val="22"/>
          <w:lang w:eastAsia="en-GB" w:bidi="ar-SA"/>
        </w:rPr>
      </w:pPr>
      <w:r w:rsidRPr="004B77F6">
        <w:rPr>
          <w:rFonts w:cs="Arial"/>
          <w:szCs w:val="22"/>
          <w:lang w:eastAsia="en-GB" w:bidi="ar-SA"/>
        </w:rPr>
        <w:t xml:space="preserve">For the allergen search, no identity matches of greater than 35% over 80 residues were observed for either ORF, and no eight contiguous identical amino acid matches were observed for either ORF i.e. </w:t>
      </w:r>
      <w:r w:rsidRPr="004B77F6">
        <w:rPr>
          <w:rFonts w:cs="Arial"/>
          <w:color w:val="000000" w:themeColor="text1"/>
          <w:szCs w:val="22"/>
        </w:rPr>
        <w:t>neither ORF contains any c</w:t>
      </w:r>
      <w:r>
        <w:rPr>
          <w:rFonts w:cs="Arial"/>
          <w:color w:val="000000" w:themeColor="text1"/>
          <w:szCs w:val="22"/>
        </w:rPr>
        <w:t>ross-</w:t>
      </w:r>
      <w:r w:rsidRPr="00FC25C9">
        <w:rPr>
          <w:rFonts w:cs="Arial"/>
          <w:color w:val="000000" w:themeColor="text1"/>
          <w:szCs w:val="22"/>
        </w:rPr>
        <w:t>reactive IgE</w:t>
      </w:r>
      <w:r w:rsidRPr="004B77F6">
        <w:rPr>
          <w:rFonts w:cs="Arial"/>
          <w:color w:val="000000" w:themeColor="text1"/>
          <w:szCs w:val="22"/>
        </w:rPr>
        <w:t xml:space="preserve"> binding epitopes with known allergens.</w:t>
      </w:r>
    </w:p>
    <w:p w14:paraId="20643BE1" w14:textId="77777777" w:rsidR="00333AC0" w:rsidRPr="004B77F6" w:rsidRDefault="00333AC0" w:rsidP="00011A05">
      <w:pPr>
        <w:rPr>
          <w:rFonts w:cs="Arial"/>
          <w:color w:val="000000" w:themeColor="text1"/>
          <w:szCs w:val="22"/>
        </w:rPr>
      </w:pPr>
    </w:p>
    <w:p w14:paraId="20643BE2" w14:textId="77777777" w:rsidR="00333AC0" w:rsidRDefault="00333AC0" w:rsidP="00011A05">
      <w:pPr>
        <w:autoSpaceDE w:val="0"/>
        <w:autoSpaceDN w:val="0"/>
        <w:adjustRightInd w:val="0"/>
        <w:rPr>
          <w:rFonts w:cs="Arial"/>
          <w:color w:val="000000" w:themeColor="text1"/>
          <w:szCs w:val="22"/>
        </w:rPr>
      </w:pPr>
      <w:r w:rsidRPr="004B77F6">
        <w:rPr>
          <w:rFonts w:cs="Arial"/>
          <w:color w:val="000000" w:themeColor="text1"/>
          <w:szCs w:val="22"/>
        </w:rPr>
        <w:t>It is concluded that i</w:t>
      </w:r>
      <w:r w:rsidRPr="004B77F6">
        <w:rPr>
          <w:rFonts w:eastAsiaTheme="minorHAnsi" w:cs="Arial"/>
          <w:color w:val="000000" w:themeColor="text1"/>
          <w:szCs w:val="22"/>
        </w:rPr>
        <w:t xml:space="preserve">n the event an unexpected translation product were to be derived from the two ORFs detected in the GR2E junction regions, these putative polypeptides are not expected to possess functional cross-reactivity with known </w:t>
      </w:r>
      <w:r w:rsidRPr="004B77F6">
        <w:rPr>
          <w:rFonts w:cs="Arial"/>
          <w:color w:val="000000" w:themeColor="text1"/>
          <w:szCs w:val="22"/>
        </w:rPr>
        <w:t>allergenic proteins or be toxic.</w:t>
      </w:r>
    </w:p>
    <w:p w14:paraId="20643BE3" w14:textId="77777777" w:rsidR="00333AC0" w:rsidRDefault="00333AC0" w:rsidP="00011A05">
      <w:pPr>
        <w:pStyle w:val="Heading3"/>
      </w:pPr>
      <w:r>
        <w:t>4.1.7</w:t>
      </w:r>
      <w:r>
        <w:tab/>
        <w:t>Conclusion</w:t>
      </w:r>
    </w:p>
    <w:p w14:paraId="20643BE4" w14:textId="77777777" w:rsidR="00333AC0" w:rsidRDefault="00333AC0" w:rsidP="00011A05">
      <w:pPr>
        <w:pStyle w:val="BodyText"/>
        <w:rPr>
          <w:rFonts w:cs="Arial"/>
          <w:color w:val="000000" w:themeColor="text1"/>
          <w:szCs w:val="22"/>
        </w:rPr>
      </w:pPr>
      <w:r>
        <w:rPr>
          <w:rFonts w:eastAsia="Batang" w:cs="Arial"/>
          <w:color w:val="000000" w:themeColor="text1"/>
          <w:szCs w:val="22"/>
        </w:rPr>
        <w:t>GR2E expresses three</w:t>
      </w:r>
      <w:r w:rsidRPr="00547CD3">
        <w:rPr>
          <w:rFonts w:eastAsia="Batang" w:cs="Arial"/>
          <w:color w:val="000000" w:themeColor="text1"/>
          <w:szCs w:val="22"/>
        </w:rPr>
        <w:t xml:space="preserve"> novel proteins, </w:t>
      </w:r>
      <w:r w:rsidRPr="00D876BB">
        <w:rPr>
          <w:rFonts w:eastAsia="Batang" w:cs="Arial"/>
          <w:i/>
          <w:color w:val="000000" w:themeColor="text1"/>
          <w:szCs w:val="22"/>
        </w:rPr>
        <w:t>Zm</w:t>
      </w:r>
      <w:r>
        <w:rPr>
          <w:rFonts w:eastAsia="Batang" w:cs="Arial"/>
          <w:color w:val="000000" w:themeColor="text1"/>
          <w:szCs w:val="22"/>
        </w:rPr>
        <w:t>PSY1, CRTI</w:t>
      </w:r>
      <w:r w:rsidRPr="00547CD3">
        <w:rPr>
          <w:rFonts w:eastAsia="Batang" w:cs="Arial"/>
          <w:color w:val="000000" w:themeColor="text1"/>
          <w:szCs w:val="22"/>
        </w:rPr>
        <w:t xml:space="preserve"> </w:t>
      </w:r>
      <w:r>
        <w:rPr>
          <w:rFonts w:eastAsia="Batang" w:cs="Arial"/>
          <w:color w:val="000000" w:themeColor="text1"/>
          <w:szCs w:val="22"/>
        </w:rPr>
        <w:t>and PMI</w:t>
      </w:r>
      <w:r w:rsidRPr="00547CD3">
        <w:rPr>
          <w:rFonts w:cs="Arial"/>
          <w:color w:val="000000" w:themeColor="text1"/>
          <w:szCs w:val="22"/>
        </w:rPr>
        <w:t xml:space="preserve">. </w:t>
      </w:r>
    </w:p>
    <w:p w14:paraId="20643BE5" w14:textId="77777777" w:rsidR="00333AC0" w:rsidRDefault="00333AC0" w:rsidP="00011A05">
      <w:pPr>
        <w:widowControl/>
        <w:autoSpaceDE w:val="0"/>
        <w:autoSpaceDN w:val="0"/>
        <w:adjustRightInd w:val="0"/>
        <w:rPr>
          <w:rFonts w:ascii="CharterBT-Roman" w:hAnsi="CharterBT-Roman" w:cs="CharterBT-Roman"/>
          <w:szCs w:val="22"/>
          <w:lang w:eastAsia="en-GB" w:bidi="ar-SA"/>
        </w:rPr>
      </w:pPr>
      <w:r>
        <w:rPr>
          <w:rFonts w:ascii="CharterBT-Roman" w:hAnsi="CharterBT-Roman" w:cs="CharterBT-Roman"/>
          <w:szCs w:val="22"/>
          <w:lang w:eastAsia="en-GB" w:bidi="ar-SA"/>
        </w:rPr>
        <w:t xml:space="preserve">Analyses of all three proteins in straw and various grain stages indicated that measurable but very low concentrations of both PSY1 and CRTI proteins were found in all GR2E grain developmental stages but not in GR2E stem/straw tissue. Levels of CRTI were lower than </w:t>
      </w:r>
      <w:r w:rsidRPr="001F6BA5">
        <w:rPr>
          <w:rFonts w:ascii="CharterBT-Roman" w:hAnsi="CharterBT-Roman" w:cs="CharterBT-Roman"/>
          <w:i/>
          <w:szCs w:val="22"/>
          <w:lang w:eastAsia="en-GB" w:bidi="ar-SA"/>
        </w:rPr>
        <w:t>Zm</w:t>
      </w:r>
      <w:r>
        <w:rPr>
          <w:rFonts w:ascii="CharterBT-Roman" w:hAnsi="CharterBT-Roman" w:cs="CharterBT-Roman"/>
          <w:szCs w:val="22"/>
          <w:lang w:eastAsia="en-GB" w:bidi="ar-SA"/>
        </w:rPr>
        <w:t xml:space="preserve">PSY1; both proteins had the highest mean concentration in grain at dough stage, ranging between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308–359 ng/g and </w:t>
      </w:r>
      <w:r>
        <w:rPr>
          <w:rFonts w:ascii="CharterBT-Italic" w:hAnsi="CharterBT-Italic" w:cs="CharterBT-Italic"/>
          <w:i/>
          <w:iCs/>
          <w:szCs w:val="22"/>
          <w:lang w:eastAsia="en-GB" w:bidi="ar-SA"/>
        </w:rPr>
        <w:t>ca</w:t>
      </w:r>
      <w:r>
        <w:rPr>
          <w:rFonts w:ascii="CharterBT-Roman" w:hAnsi="CharterBT-Roman" w:cs="CharterBT-Roman"/>
          <w:szCs w:val="22"/>
          <w:lang w:eastAsia="en-GB" w:bidi="ar-SA"/>
        </w:rPr>
        <w:t xml:space="preserve">. 54–68 ng/g for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and CRTI, respectively. Concentrations of PMI protein were significantly higher than either </w:t>
      </w:r>
      <w:r>
        <w:rPr>
          <w:rFonts w:ascii="CharterBT-Italic" w:hAnsi="CharterBT-Italic" w:cs="CharterBT-Italic"/>
          <w:i/>
          <w:iCs/>
          <w:szCs w:val="22"/>
          <w:lang w:eastAsia="en-GB" w:bidi="ar-SA"/>
        </w:rPr>
        <w:t>Zm</w:t>
      </w:r>
      <w:r>
        <w:rPr>
          <w:rFonts w:ascii="CharterBT-Roman" w:hAnsi="CharterBT-Roman" w:cs="CharterBT-Roman"/>
          <w:szCs w:val="22"/>
          <w:lang w:eastAsia="en-GB" w:bidi="ar-SA"/>
        </w:rPr>
        <w:t xml:space="preserve">PSY1 or CRTI in samples from all grain growth stages and were highest in dough-stage grain, averaging </w:t>
      </w:r>
      <w:r>
        <w:rPr>
          <w:rFonts w:ascii="CharterBT-Italic" w:hAnsi="CharterBT-Italic" w:cs="CharterBT-Italic"/>
          <w:i/>
          <w:iCs/>
          <w:szCs w:val="22"/>
          <w:lang w:eastAsia="en-GB" w:bidi="ar-SA"/>
        </w:rPr>
        <w:t>ca</w:t>
      </w:r>
      <w:r>
        <w:rPr>
          <w:rFonts w:ascii="CharterBT-Roman" w:hAnsi="CharterBT-Roman" w:cs="CharterBT-Roman"/>
          <w:szCs w:val="22"/>
          <w:lang w:eastAsia="en-GB" w:bidi="ar-SA"/>
        </w:rPr>
        <w:t>. 2015 ng/g across the locations/growing seasons tested. PMI was also present in straw.</w:t>
      </w:r>
    </w:p>
    <w:p w14:paraId="20643BE6" w14:textId="77777777" w:rsidR="00333AC0" w:rsidRPr="004B77F6" w:rsidRDefault="00333AC0" w:rsidP="00011A05">
      <w:pPr>
        <w:widowControl/>
        <w:autoSpaceDE w:val="0"/>
        <w:autoSpaceDN w:val="0"/>
        <w:adjustRightInd w:val="0"/>
        <w:rPr>
          <w:rFonts w:ascii="CharterBT-Roman" w:hAnsi="CharterBT-Roman" w:cs="CharterBT-Roman"/>
          <w:szCs w:val="22"/>
          <w:lang w:eastAsia="en-GB" w:bidi="ar-SA"/>
        </w:rPr>
      </w:pPr>
    </w:p>
    <w:p w14:paraId="20643BE7" w14:textId="77777777" w:rsidR="00333AC0" w:rsidRDefault="00333AC0" w:rsidP="00011A05">
      <w:pPr>
        <w:pStyle w:val="BodyText"/>
        <w:spacing w:after="0"/>
        <w:rPr>
          <w:rFonts w:cs="Arial"/>
          <w:color w:val="000000" w:themeColor="text1"/>
          <w:szCs w:val="22"/>
        </w:rPr>
      </w:pPr>
      <w:r w:rsidRPr="007F0831">
        <w:rPr>
          <w:rFonts w:cs="Arial"/>
          <w:color w:val="000000" w:themeColor="text1"/>
          <w:szCs w:val="22"/>
        </w:rPr>
        <w:t xml:space="preserve">Very low yields of the plant-produced </w:t>
      </w:r>
      <w:r w:rsidRPr="007F0831">
        <w:rPr>
          <w:rFonts w:cs="Arial"/>
          <w:i/>
          <w:color w:val="000000" w:themeColor="text1"/>
          <w:szCs w:val="22"/>
        </w:rPr>
        <w:t>Zm</w:t>
      </w:r>
      <w:r w:rsidRPr="007F0831">
        <w:rPr>
          <w:rFonts w:cs="Arial"/>
          <w:color w:val="000000" w:themeColor="text1"/>
          <w:szCs w:val="22"/>
        </w:rPr>
        <w:t xml:space="preserve">PSY1 and CRTI proteins precluded their specific characterisation. However the weight of evidence, provided by a) translation of the known DNA sequences of the three genes introduced into GR2E, b) the fact that the proteins function as predicted in the plant </w:t>
      </w:r>
      <w:r>
        <w:rPr>
          <w:rFonts w:cs="Arial"/>
          <w:color w:val="000000" w:themeColor="text1"/>
          <w:szCs w:val="22"/>
        </w:rPr>
        <w:t>c) detection by specific antibodies and d</w:t>
      </w:r>
      <w:r w:rsidRPr="007F0831">
        <w:rPr>
          <w:rFonts w:cs="Arial"/>
          <w:color w:val="000000" w:themeColor="text1"/>
          <w:szCs w:val="22"/>
        </w:rPr>
        <w:t>) the detailed characterisation of equivalent microbially-produced proteins is sufficient to confirm the identity of the proteins expressed in GR2E.</w:t>
      </w:r>
    </w:p>
    <w:p w14:paraId="6F08EC5D" w14:textId="77777777" w:rsidR="00145F8F" w:rsidRDefault="00145F8F" w:rsidP="00011A05">
      <w:pPr>
        <w:pStyle w:val="BodyText"/>
        <w:spacing w:after="0"/>
        <w:rPr>
          <w:rFonts w:cs="Arial"/>
          <w:color w:val="000000" w:themeColor="text1"/>
          <w:szCs w:val="22"/>
        </w:rPr>
      </w:pPr>
    </w:p>
    <w:p w14:paraId="20643BE8" w14:textId="77777777" w:rsidR="00333AC0" w:rsidRDefault="00333AC0" w:rsidP="00011A05">
      <w:pPr>
        <w:pStyle w:val="BodyText"/>
        <w:spacing w:after="0"/>
        <w:rPr>
          <w:rFonts w:cs="Arial"/>
          <w:color w:val="000000" w:themeColor="text1"/>
          <w:szCs w:val="22"/>
        </w:rPr>
      </w:pPr>
      <w:r>
        <w:rPr>
          <w:rFonts w:cs="Arial"/>
          <w:color w:val="000000" w:themeColor="text1"/>
          <w:szCs w:val="22"/>
        </w:rPr>
        <w:t xml:space="preserve">For the </w:t>
      </w:r>
      <w:r w:rsidRPr="004B77F6">
        <w:rPr>
          <w:rFonts w:cs="Arial"/>
          <w:i/>
          <w:color w:val="000000" w:themeColor="text1"/>
          <w:szCs w:val="22"/>
        </w:rPr>
        <w:t>Zm</w:t>
      </w:r>
      <w:r>
        <w:rPr>
          <w:rFonts w:cs="Arial"/>
          <w:color w:val="000000" w:themeColor="text1"/>
          <w:szCs w:val="22"/>
        </w:rPr>
        <w:t xml:space="preserve">PSY1 and CRTI </w:t>
      </w:r>
      <w:r w:rsidRPr="0019094B">
        <w:rPr>
          <w:rFonts w:cs="Arial"/>
          <w:color w:val="000000" w:themeColor="text1"/>
          <w:szCs w:val="22"/>
        </w:rPr>
        <w:t>proteins, bioinformatic studies confirmed the lack of any significant amino acid sequence similarity to know</w:t>
      </w:r>
      <w:r>
        <w:rPr>
          <w:rFonts w:cs="Arial"/>
          <w:color w:val="000000" w:themeColor="text1"/>
          <w:szCs w:val="22"/>
        </w:rPr>
        <w:t>n</w:t>
      </w:r>
      <w:r w:rsidRPr="0019094B">
        <w:rPr>
          <w:rFonts w:cs="Arial"/>
          <w:color w:val="000000" w:themeColor="text1"/>
          <w:szCs w:val="22"/>
        </w:rPr>
        <w:t xml:space="preserve"> protein toxins or allergens; digestibility studies suggest the proteins would be rapidly degraded in the gastro-intestinal tract following ingestion; and thermolability studies indicate both proteins are functionally inactivated following heating.</w:t>
      </w:r>
      <w:r>
        <w:rPr>
          <w:rFonts w:cs="Arial"/>
          <w:color w:val="000000" w:themeColor="text1"/>
          <w:szCs w:val="22"/>
        </w:rPr>
        <w:t xml:space="preserve"> There are no toxicity or allergenicity concerns.</w:t>
      </w:r>
    </w:p>
    <w:p w14:paraId="20643BE9" w14:textId="77777777" w:rsidR="00333AC0" w:rsidRDefault="00333AC0" w:rsidP="00011A05">
      <w:pPr>
        <w:pStyle w:val="BodyText"/>
        <w:spacing w:after="0"/>
        <w:rPr>
          <w:rFonts w:cs="Arial"/>
          <w:color w:val="000000" w:themeColor="text1"/>
          <w:szCs w:val="22"/>
        </w:rPr>
      </w:pPr>
    </w:p>
    <w:p w14:paraId="20643BEA" w14:textId="77777777" w:rsidR="00333AC0" w:rsidRDefault="00333AC0" w:rsidP="00011A05">
      <w:pPr>
        <w:rPr>
          <w:rFonts w:cs="Arial"/>
          <w:color w:val="000000" w:themeColor="text1"/>
          <w:szCs w:val="22"/>
        </w:rPr>
      </w:pPr>
      <w:r w:rsidRPr="00847D30">
        <w:rPr>
          <w:rFonts w:cs="Arial"/>
          <w:color w:val="000000" w:themeColor="text1"/>
          <w:szCs w:val="22"/>
        </w:rPr>
        <w:t xml:space="preserve">There are </w:t>
      </w:r>
      <w:r>
        <w:rPr>
          <w:rFonts w:cs="Arial"/>
          <w:color w:val="000000" w:themeColor="text1"/>
          <w:szCs w:val="22"/>
        </w:rPr>
        <w:t xml:space="preserve">also </w:t>
      </w:r>
      <w:r w:rsidRPr="00847D30">
        <w:rPr>
          <w:rFonts w:cs="Arial"/>
          <w:color w:val="000000" w:themeColor="text1"/>
          <w:szCs w:val="22"/>
        </w:rPr>
        <w:t>no concerns regarding the potential toxicity or allerge</w:t>
      </w:r>
      <w:r>
        <w:rPr>
          <w:rFonts w:cs="Arial"/>
          <w:color w:val="000000" w:themeColor="text1"/>
          <w:szCs w:val="22"/>
        </w:rPr>
        <w:t>nicity of the PMI protein</w:t>
      </w:r>
      <w:r w:rsidRPr="00847D30">
        <w:rPr>
          <w:rFonts w:cs="Arial"/>
          <w:color w:val="000000" w:themeColor="text1"/>
          <w:szCs w:val="22"/>
        </w:rPr>
        <w:t xml:space="preserve"> </w:t>
      </w:r>
      <w:r>
        <w:rPr>
          <w:rFonts w:cs="Arial"/>
          <w:color w:val="000000" w:themeColor="text1"/>
          <w:szCs w:val="22"/>
        </w:rPr>
        <w:t>which has been previously assessed as safe</w:t>
      </w:r>
      <w:r w:rsidRPr="00847D30">
        <w:rPr>
          <w:rFonts w:cs="Arial"/>
          <w:color w:val="000000" w:themeColor="text1"/>
          <w:szCs w:val="22"/>
        </w:rPr>
        <w:t xml:space="preserve"> </w:t>
      </w:r>
      <w:r>
        <w:rPr>
          <w:rFonts w:cs="Arial"/>
          <w:color w:val="000000" w:themeColor="text1"/>
          <w:szCs w:val="22"/>
        </w:rPr>
        <w:t xml:space="preserve">by </w:t>
      </w:r>
      <w:r w:rsidRPr="007F0831">
        <w:rPr>
          <w:rFonts w:cs="Arial"/>
          <w:color w:val="000000" w:themeColor="text1"/>
          <w:szCs w:val="22"/>
        </w:rPr>
        <w:t>FSANZ. Updated bioinformatics studies submitted in this application confirm the lack of any significant amino acid sequence similarity of the PMI expressed in GR2E to known protein toxins or allergens.</w:t>
      </w:r>
    </w:p>
    <w:p w14:paraId="20643BEB" w14:textId="77777777" w:rsidR="00333AC0" w:rsidRDefault="00333AC0" w:rsidP="00011A05">
      <w:pPr>
        <w:rPr>
          <w:rFonts w:cs="Arial"/>
          <w:color w:val="000000" w:themeColor="text1"/>
          <w:szCs w:val="22"/>
        </w:rPr>
      </w:pPr>
    </w:p>
    <w:p w14:paraId="20643BEC" w14:textId="77777777" w:rsidR="00333AC0" w:rsidRPr="009C5519" w:rsidRDefault="00333AC0" w:rsidP="00011A05">
      <w:pPr>
        <w:rPr>
          <w:rFonts w:cs="Arial"/>
          <w:color w:val="000000" w:themeColor="text1"/>
          <w:szCs w:val="22"/>
        </w:rPr>
      </w:pPr>
      <w:r w:rsidRPr="009C5519">
        <w:rPr>
          <w:rFonts w:cs="Arial"/>
          <w:color w:val="000000" w:themeColor="text1"/>
          <w:szCs w:val="22"/>
        </w:rPr>
        <w:t xml:space="preserve">Taken together, the evidence indicates that </w:t>
      </w:r>
      <w:r w:rsidRPr="009C5519">
        <w:rPr>
          <w:rFonts w:cs="Arial"/>
          <w:i/>
          <w:color w:val="000000" w:themeColor="text1"/>
          <w:szCs w:val="22"/>
        </w:rPr>
        <w:t>Zm</w:t>
      </w:r>
      <w:r w:rsidRPr="009C5519">
        <w:rPr>
          <w:rFonts w:cs="Arial"/>
          <w:color w:val="000000" w:themeColor="text1"/>
          <w:szCs w:val="22"/>
        </w:rPr>
        <w:t xml:space="preserve">PSY1, CRTI and PMI </w:t>
      </w:r>
      <w:r>
        <w:rPr>
          <w:rFonts w:cs="Arial"/>
          <w:color w:val="000000" w:themeColor="text1"/>
          <w:szCs w:val="22"/>
        </w:rPr>
        <w:t xml:space="preserve">proteins </w:t>
      </w:r>
      <w:r w:rsidRPr="009C5519">
        <w:rPr>
          <w:rFonts w:cs="Arial"/>
          <w:color w:val="000000" w:themeColor="text1"/>
          <w:szCs w:val="22"/>
        </w:rPr>
        <w:t>in the diet are unlikely to be toxic or allergenic in humans.</w:t>
      </w:r>
    </w:p>
    <w:p w14:paraId="20643BED" w14:textId="77777777" w:rsidR="00333AC0" w:rsidRPr="009C5519" w:rsidRDefault="00333AC0" w:rsidP="00011A05">
      <w:pPr>
        <w:pStyle w:val="Heading2"/>
        <w:rPr>
          <w:color w:val="000000" w:themeColor="text1"/>
        </w:rPr>
      </w:pPr>
      <w:bookmarkStart w:id="51" w:name="_Toc470008724"/>
      <w:r w:rsidRPr="009C5519">
        <w:rPr>
          <w:color w:val="000000" w:themeColor="text1"/>
        </w:rPr>
        <w:t>4.2</w:t>
      </w:r>
      <w:r w:rsidRPr="009C5519">
        <w:rPr>
          <w:color w:val="000000" w:themeColor="text1"/>
        </w:rPr>
        <w:tab/>
        <w:t>β-carotene</w:t>
      </w:r>
      <w:bookmarkEnd w:id="51"/>
    </w:p>
    <w:p w14:paraId="20643BEE" w14:textId="0F0D8607" w:rsidR="00333AC0" w:rsidRPr="00E92468" w:rsidRDefault="00333AC0" w:rsidP="00011A05">
      <w:pPr>
        <w:rPr>
          <w:rFonts w:eastAsiaTheme="minorHAnsi"/>
          <w:lang w:eastAsia="en-AU" w:bidi="ar-SA"/>
        </w:rPr>
      </w:pPr>
      <w:r w:rsidRPr="009C5519">
        <w:rPr>
          <w:rFonts w:eastAsiaTheme="minorHAnsi" w:cs="Arial"/>
          <w:lang w:eastAsia="en-AU" w:bidi="ar-SA"/>
        </w:rPr>
        <w:t>β</w:t>
      </w:r>
      <w:r w:rsidRPr="009C5519">
        <w:rPr>
          <w:rFonts w:eastAsiaTheme="minorHAnsi"/>
          <w:lang w:eastAsia="en-AU" w:bidi="ar-SA"/>
        </w:rPr>
        <w:t>-carotene is not normally produced in the rice grain and is therefore a new substance. A separate consideration of the nutritional safety of this (and other) carotenoid(s) in the context of the Australian/New Zealand di</w:t>
      </w:r>
      <w:r w:rsidR="004E4D1F">
        <w:rPr>
          <w:rFonts w:eastAsiaTheme="minorHAnsi"/>
          <w:lang w:eastAsia="en-AU" w:bidi="ar-SA"/>
        </w:rPr>
        <w:t>et is provided in Supporting Document 2</w:t>
      </w:r>
      <w:r w:rsidRPr="009C5519">
        <w:rPr>
          <w:rFonts w:eastAsiaTheme="minorHAnsi"/>
          <w:lang w:eastAsia="en-AU" w:bidi="ar-SA"/>
        </w:rPr>
        <w:t>.</w:t>
      </w:r>
    </w:p>
    <w:p w14:paraId="20643BEF" w14:textId="77777777" w:rsidR="00333AC0" w:rsidRDefault="00333AC0" w:rsidP="00011A05"/>
    <w:p w14:paraId="20643BF0" w14:textId="77777777" w:rsidR="00333AC0" w:rsidRPr="008F1F30" w:rsidRDefault="00333AC0" w:rsidP="00011A05">
      <w:pPr>
        <w:pStyle w:val="Heading1"/>
        <w:ind w:left="0" w:firstLine="0"/>
        <w:rPr>
          <w:color w:val="000000" w:themeColor="text1"/>
        </w:rPr>
      </w:pPr>
      <w:bookmarkStart w:id="52" w:name="_Toc470008725"/>
      <w:r w:rsidRPr="008F1F30">
        <w:rPr>
          <w:color w:val="000000" w:themeColor="text1"/>
        </w:rPr>
        <w:t>5</w:t>
      </w:r>
      <w:r w:rsidRPr="008F1F30">
        <w:rPr>
          <w:color w:val="000000" w:themeColor="text1"/>
        </w:rPr>
        <w:tab/>
        <w:t>Compositional analyses</w:t>
      </w:r>
      <w:bookmarkEnd w:id="52"/>
    </w:p>
    <w:p w14:paraId="20643BF1" w14:textId="77777777" w:rsidR="00333AC0" w:rsidRPr="008F1F30" w:rsidRDefault="00333AC0" w:rsidP="00011A05">
      <w:pPr>
        <w:autoSpaceDE w:val="0"/>
        <w:autoSpaceDN w:val="0"/>
        <w:adjustRightInd w:val="0"/>
        <w:rPr>
          <w:color w:val="000000" w:themeColor="text1"/>
        </w:rPr>
      </w:pPr>
      <w:r w:rsidRPr="008F1F30">
        <w:rPr>
          <w:color w:val="000000" w:themeColor="text1"/>
        </w:rPr>
        <w:t>The main purpose of compositional analyses is to determine if, as a result of the genetic modification, any unexpected changes have occurred to the food. These changes could take the form of alterations in the composition of the plant and its tissues and thus its nutritional adequacy. Compositional analyses can also be important for evaluating the intended effect where there has been a deliberate change to the composition of the food.</w:t>
      </w:r>
    </w:p>
    <w:p w14:paraId="20643BF2" w14:textId="77777777" w:rsidR="00333AC0" w:rsidRPr="008F1F30" w:rsidRDefault="00333AC0" w:rsidP="00011A05">
      <w:pPr>
        <w:autoSpaceDE w:val="0"/>
        <w:autoSpaceDN w:val="0"/>
        <w:adjustRightInd w:val="0"/>
        <w:rPr>
          <w:color w:val="000000" w:themeColor="text1"/>
        </w:rPr>
      </w:pPr>
    </w:p>
    <w:p w14:paraId="20643BF3" w14:textId="77777777" w:rsidR="00333AC0" w:rsidRPr="008F1F30" w:rsidRDefault="00333AC0" w:rsidP="00011A05">
      <w:pPr>
        <w:autoSpaceDE w:val="0"/>
        <w:autoSpaceDN w:val="0"/>
        <w:adjustRightInd w:val="0"/>
        <w:rPr>
          <w:color w:val="000000" w:themeColor="text1"/>
        </w:rPr>
      </w:pPr>
      <w:r w:rsidRPr="008F1F30">
        <w:rPr>
          <w:color w:val="000000" w:themeColor="text1"/>
        </w:rPr>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 (e.g. glycoalkaloids in potatoes).</w:t>
      </w:r>
    </w:p>
    <w:p w14:paraId="20643BF4" w14:textId="77777777" w:rsidR="00333AC0" w:rsidRPr="008F1F30" w:rsidRDefault="00333AC0" w:rsidP="00011A05">
      <w:pPr>
        <w:pStyle w:val="Heading2"/>
        <w:rPr>
          <w:color w:val="000000" w:themeColor="text1"/>
        </w:rPr>
      </w:pPr>
      <w:bookmarkStart w:id="53" w:name="_Toc470008726"/>
      <w:r w:rsidRPr="008F1F30">
        <w:rPr>
          <w:color w:val="000000" w:themeColor="text1"/>
        </w:rPr>
        <w:t>5.1</w:t>
      </w:r>
      <w:r w:rsidRPr="008F1F30">
        <w:rPr>
          <w:color w:val="000000" w:themeColor="text1"/>
        </w:rPr>
        <w:tab/>
        <w:t>Key components</w:t>
      </w:r>
      <w:bookmarkEnd w:id="53"/>
    </w:p>
    <w:p w14:paraId="20643BF5" w14:textId="77777777" w:rsidR="00333AC0" w:rsidRPr="00CE07DF" w:rsidRDefault="00333AC0" w:rsidP="00011A05">
      <w:pPr>
        <w:rPr>
          <w:color w:val="000000" w:themeColor="text1"/>
        </w:rPr>
      </w:pPr>
      <w:r w:rsidRPr="00CE07DF">
        <w:rPr>
          <w:color w:val="000000" w:themeColor="text1"/>
        </w:rPr>
        <w:t xml:space="preserve">There are </w:t>
      </w:r>
      <w:r>
        <w:rPr>
          <w:color w:val="000000" w:themeColor="text1"/>
        </w:rPr>
        <w:t xml:space="preserve">a number of components </w:t>
      </w:r>
      <w:r w:rsidRPr="00CE07DF">
        <w:rPr>
          <w:color w:val="000000" w:themeColor="text1"/>
        </w:rPr>
        <w:t xml:space="preserve">that are considered important for compositional analysis </w:t>
      </w:r>
      <w:r>
        <w:rPr>
          <w:color w:val="000000" w:themeColor="text1"/>
        </w:rPr>
        <w:t xml:space="preserve"> in rice matrices for food use </w:t>
      </w:r>
      <w:r w:rsidRPr="00CE07DF">
        <w:rPr>
          <w:noProof/>
          <w:color w:val="000000" w:themeColor="text1"/>
        </w:rPr>
        <w:t>(OECD 2016)</w:t>
      </w:r>
      <w:r w:rsidRPr="00CE07DF">
        <w:rPr>
          <w:color w:val="000000" w:themeColor="text1"/>
        </w:rPr>
        <w:t xml:space="preserve">. Depending on variety, climate, soil type and farming practice, grain composition may vary widely. As a minimum, the key constituents of rice grain suggested for consideration for a comparative study include proximates, total dietary fibre, vitamins (thiamine, riboflavin, niacin, pantothenic acid, pyridoxine and </w:t>
      </w:r>
      <w:r w:rsidRPr="00CE07DF">
        <w:rPr>
          <w:rFonts w:cs="Arial"/>
          <w:color w:val="000000" w:themeColor="text1"/>
        </w:rPr>
        <w:t>α</w:t>
      </w:r>
      <w:r w:rsidRPr="00CE07DF">
        <w:rPr>
          <w:color w:val="000000" w:themeColor="text1"/>
        </w:rPr>
        <w:t>-tocopherol), amino acids and fatty acids.</w:t>
      </w:r>
    </w:p>
    <w:p w14:paraId="20643BF6" w14:textId="77777777" w:rsidR="00333AC0" w:rsidRPr="00CE07DF" w:rsidRDefault="00333AC0" w:rsidP="00011A05">
      <w:pPr>
        <w:rPr>
          <w:color w:val="000000" w:themeColor="text1"/>
        </w:rPr>
      </w:pPr>
    </w:p>
    <w:p w14:paraId="20643BF7" w14:textId="77777777" w:rsidR="00333AC0" w:rsidRDefault="00333AC0" w:rsidP="00011A05">
      <w:pPr>
        <w:widowControl/>
        <w:autoSpaceDE w:val="0"/>
        <w:autoSpaceDN w:val="0"/>
        <w:adjustRightInd w:val="0"/>
        <w:rPr>
          <w:rFonts w:cs="Arial"/>
          <w:szCs w:val="22"/>
          <w:lang w:eastAsia="en-GB" w:bidi="ar-SA"/>
        </w:rPr>
      </w:pPr>
      <w:r>
        <w:rPr>
          <w:rFonts w:cs="Arial"/>
          <w:szCs w:val="22"/>
          <w:lang w:eastAsia="en-GB" w:bidi="ar-SA"/>
        </w:rPr>
        <w:t>While rice is considered to be a safe source of food, there are two compounds in particular which are not favourable. Phytic acid</w:t>
      </w:r>
      <w:r w:rsidRPr="00091397">
        <w:rPr>
          <w:rFonts w:cs="Arial"/>
          <w:szCs w:val="22"/>
          <w:lang w:eastAsia="en-GB" w:bidi="ar-SA"/>
        </w:rPr>
        <w:t xml:space="preserve"> is the main storage form of phosphorus in plant t</w:t>
      </w:r>
      <w:r>
        <w:rPr>
          <w:rFonts w:cs="Arial"/>
          <w:szCs w:val="22"/>
          <w:lang w:eastAsia="en-GB" w:bidi="ar-SA"/>
        </w:rPr>
        <w:t xml:space="preserve">issues; it is not in a </w:t>
      </w:r>
      <w:r w:rsidRPr="00091397">
        <w:rPr>
          <w:rFonts w:cs="Arial"/>
          <w:szCs w:val="22"/>
          <w:lang w:eastAsia="en-GB" w:bidi="ar-SA"/>
        </w:rPr>
        <w:t xml:space="preserve">bioavailable form for monogastric animals that lack the </w:t>
      </w:r>
      <w:r>
        <w:rPr>
          <w:rFonts w:cs="Arial"/>
          <w:szCs w:val="22"/>
          <w:lang w:eastAsia="en-GB" w:bidi="ar-SA"/>
        </w:rPr>
        <w:t>digestive enzyme phytase. It binds strongly to</w:t>
      </w:r>
      <w:r w:rsidRPr="00091397">
        <w:rPr>
          <w:rFonts w:cs="Arial"/>
          <w:szCs w:val="22"/>
          <w:lang w:eastAsia="en-GB" w:bidi="ar-SA"/>
        </w:rPr>
        <w:t xml:space="preserve"> </w:t>
      </w:r>
      <w:r>
        <w:rPr>
          <w:rFonts w:cs="Arial"/>
          <w:szCs w:val="22"/>
          <w:lang w:eastAsia="en-GB" w:bidi="ar-SA"/>
        </w:rPr>
        <w:t xml:space="preserve">a) </w:t>
      </w:r>
      <w:r w:rsidRPr="00091397">
        <w:rPr>
          <w:rFonts w:cs="Arial"/>
          <w:szCs w:val="22"/>
          <w:lang w:eastAsia="en-GB" w:bidi="ar-SA"/>
        </w:rPr>
        <w:t>important miner</w:t>
      </w:r>
      <w:r>
        <w:rPr>
          <w:rFonts w:cs="Arial"/>
          <w:szCs w:val="22"/>
          <w:lang w:eastAsia="en-GB" w:bidi="ar-SA"/>
        </w:rPr>
        <w:t xml:space="preserve">als such as calcium, magnesium, </w:t>
      </w:r>
      <w:r w:rsidRPr="00091397">
        <w:rPr>
          <w:rFonts w:cs="Arial"/>
          <w:szCs w:val="22"/>
          <w:lang w:eastAsia="en-GB" w:bidi="ar-SA"/>
        </w:rPr>
        <w:t>iron, and zinc, thus reducing the</w:t>
      </w:r>
      <w:r>
        <w:rPr>
          <w:rFonts w:cs="Arial"/>
          <w:szCs w:val="22"/>
          <w:lang w:eastAsia="en-GB" w:bidi="ar-SA"/>
        </w:rPr>
        <w:t xml:space="preserve">ir absorption of these minerals and b) </w:t>
      </w:r>
      <w:r w:rsidRPr="00091397">
        <w:rPr>
          <w:rFonts w:cs="Arial"/>
          <w:szCs w:val="22"/>
          <w:lang w:eastAsia="en-GB" w:bidi="ar-SA"/>
        </w:rPr>
        <w:t xml:space="preserve">proteins, </w:t>
      </w:r>
      <w:r>
        <w:rPr>
          <w:rFonts w:cs="Arial"/>
          <w:szCs w:val="22"/>
          <w:lang w:eastAsia="en-GB" w:bidi="ar-SA"/>
        </w:rPr>
        <w:t xml:space="preserve">thus </w:t>
      </w:r>
      <w:r w:rsidRPr="00091397">
        <w:rPr>
          <w:rFonts w:cs="Arial"/>
          <w:szCs w:val="22"/>
          <w:lang w:eastAsia="en-GB" w:bidi="ar-SA"/>
        </w:rPr>
        <w:t>reduc</w:t>
      </w:r>
      <w:r>
        <w:rPr>
          <w:rFonts w:cs="Arial"/>
          <w:szCs w:val="22"/>
          <w:lang w:eastAsia="en-GB" w:bidi="ar-SA"/>
        </w:rPr>
        <w:t xml:space="preserve">ing their digestibility and amino acid bioavailability. </w:t>
      </w:r>
      <w:r w:rsidRPr="00091397">
        <w:rPr>
          <w:rFonts w:cs="Arial"/>
          <w:szCs w:val="22"/>
          <w:lang w:eastAsia="en-GB" w:bidi="ar-SA"/>
        </w:rPr>
        <w:t>Trypsin inhibitors are proteins known to inhibit biologically</w:t>
      </w:r>
      <w:r>
        <w:rPr>
          <w:rFonts w:cs="Arial"/>
          <w:szCs w:val="22"/>
          <w:lang w:eastAsia="en-GB" w:bidi="ar-SA"/>
        </w:rPr>
        <w:t xml:space="preserve"> active trypsin, interfere with </w:t>
      </w:r>
      <w:r w:rsidRPr="00091397">
        <w:rPr>
          <w:rFonts w:cs="Arial"/>
          <w:szCs w:val="22"/>
          <w:lang w:eastAsia="en-GB" w:bidi="ar-SA"/>
        </w:rPr>
        <w:t>digestion and ultimately</w:t>
      </w:r>
      <w:r>
        <w:rPr>
          <w:rFonts w:cs="Arial"/>
          <w:szCs w:val="22"/>
          <w:lang w:eastAsia="en-GB" w:bidi="ar-SA"/>
        </w:rPr>
        <w:t xml:space="preserve"> absorption of food material. They are typical </w:t>
      </w:r>
      <w:r w:rsidRPr="00091397">
        <w:rPr>
          <w:rFonts w:cs="Arial"/>
          <w:szCs w:val="22"/>
          <w:lang w:eastAsia="en-GB" w:bidi="ar-SA"/>
        </w:rPr>
        <w:t>anti-nutritional components in soybeans, cereals, and potatoes.</w:t>
      </w:r>
    </w:p>
    <w:p w14:paraId="20643BF8" w14:textId="77777777" w:rsidR="00333AC0" w:rsidRPr="006E03B8" w:rsidRDefault="00333AC0" w:rsidP="00011A05">
      <w:pPr>
        <w:widowControl/>
        <w:autoSpaceDE w:val="0"/>
        <w:autoSpaceDN w:val="0"/>
        <w:adjustRightInd w:val="0"/>
        <w:rPr>
          <w:rFonts w:cs="Arial"/>
          <w:szCs w:val="22"/>
          <w:lang w:eastAsia="en-GB" w:bidi="ar-SA"/>
        </w:rPr>
      </w:pPr>
    </w:p>
    <w:p w14:paraId="20643BF9" w14:textId="77777777" w:rsidR="00333AC0" w:rsidRPr="00091397" w:rsidRDefault="00333AC0" w:rsidP="00011A05">
      <w:pPr>
        <w:rPr>
          <w:rFonts w:eastAsia="PMingLiU" w:cs="Arial"/>
          <w:color w:val="000000" w:themeColor="text1"/>
          <w:szCs w:val="22"/>
        </w:rPr>
      </w:pPr>
      <w:r w:rsidRPr="00091397">
        <w:rPr>
          <w:rFonts w:eastAsia="PMingLiU" w:cs="Arial"/>
          <w:color w:val="000000" w:themeColor="text1"/>
          <w:szCs w:val="22"/>
        </w:rPr>
        <w:t>Analyses for key components were done on paddy rice grain and straw. Rice is largely cultivated for the production of grain for human food, and the straw is only infrequently used for livestock feed. As there are no human food products derived from straw, only the results of the compositional analyses for grain is presented in this report. However, it is noted that the compositional analyses for straw focussed only on proximates and minerals (calcium and phosphorus) and t</w:t>
      </w:r>
      <w:r w:rsidRPr="00091397">
        <w:rPr>
          <w:rFonts w:cs="Arial"/>
          <w:szCs w:val="22"/>
          <w:lang w:eastAsia="en-GB" w:bidi="ar-SA"/>
        </w:rPr>
        <w:t>here were no statistically significant differences in proximates and fibre, or calcium and phosphorus between samples of straw obtained from GR2E and the Rc82 control.</w:t>
      </w:r>
    </w:p>
    <w:p w14:paraId="20643BFA" w14:textId="77777777" w:rsidR="00333AC0" w:rsidRPr="00D40157" w:rsidRDefault="00333AC0" w:rsidP="00011A05">
      <w:pPr>
        <w:pStyle w:val="Heading2"/>
        <w:rPr>
          <w:color w:val="000000" w:themeColor="text1"/>
        </w:rPr>
      </w:pPr>
      <w:bookmarkStart w:id="54" w:name="_Toc470008727"/>
      <w:r w:rsidRPr="00D40157">
        <w:rPr>
          <w:color w:val="000000" w:themeColor="text1"/>
        </w:rPr>
        <w:t>5.2</w:t>
      </w:r>
      <w:r w:rsidRPr="00D40157">
        <w:rPr>
          <w:color w:val="000000" w:themeColor="text1"/>
        </w:rPr>
        <w:tab/>
        <w:t>Study design and conduct for key components</w:t>
      </w:r>
      <w:bookmarkEnd w:id="54"/>
    </w:p>
    <w:p w14:paraId="20643BFB" w14:textId="77777777" w:rsidR="00333AC0" w:rsidRPr="00D40157" w:rsidRDefault="00333AC0" w:rsidP="00011A05">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r w:rsidRPr="00D40157">
        <w:rPr>
          <w:rFonts w:cs="Arial"/>
          <w:b/>
          <w:color w:val="000000" w:themeColor="text1"/>
          <w:sz w:val="20"/>
          <w:szCs w:val="20"/>
        </w:rPr>
        <w:t>Studies submitted:</w:t>
      </w:r>
    </w:p>
    <w:p w14:paraId="20643BFC" w14:textId="77777777" w:rsidR="00333AC0" w:rsidRPr="00D40157" w:rsidRDefault="00333AC0" w:rsidP="00011A05">
      <w:pPr>
        <w:pBdr>
          <w:top w:val="single" w:sz="4" w:space="1" w:color="auto"/>
          <w:left w:val="single" w:sz="4" w:space="4" w:color="auto"/>
          <w:bottom w:val="single" w:sz="4" w:space="1" w:color="auto"/>
          <w:right w:val="single" w:sz="4" w:space="4" w:color="auto"/>
        </w:pBdr>
        <w:ind w:left="284" w:hanging="284"/>
        <w:rPr>
          <w:rFonts w:cs="Arial"/>
          <w:b/>
          <w:color w:val="000000" w:themeColor="text1"/>
          <w:sz w:val="20"/>
          <w:szCs w:val="20"/>
        </w:rPr>
      </w:pPr>
    </w:p>
    <w:p w14:paraId="20643BFD" w14:textId="77777777" w:rsidR="00333AC0" w:rsidRPr="00D40157"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2016</w:t>
      </w:r>
      <w:r w:rsidRPr="00D40157">
        <w:rPr>
          <w:rFonts w:cs="Arial"/>
          <w:color w:val="000000" w:themeColor="text1"/>
          <w:sz w:val="20"/>
          <w:szCs w:val="20"/>
          <w:lang w:eastAsia="en-GB" w:bidi="ar-SA"/>
        </w:rPr>
        <w:t>. Nutrient composition of event IR-ØØGR2E-5 and non-transgenic control rice grown during the rainy season in 2015 in the Philippines. Technical report, IR2015-07001 (unpublished) International Rice Research Institute, Los Banos, Laguna, Philippines</w:t>
      </w:r>
    </w:p>
    <w:p w14:paraId="20643BFE" w14:textId="77777777" w:rsidR="00333AC0" w:rsidRPr="00D40157"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2016</w:t>
      </w:r>
      <w:r w:rsidRPr="00D40157">
        <w:rPr>
          <w:rFonts w:cs="Arial"/>
          <w:color w:val="000000" w:themeColor="text1"/>
          <w:sz w:val="20"/>
          <w:szCs w:val="20"/>
          <w:lang w:eastAsia="en-GB" w:bidi="ar-SA"/>
        </w:rPr>
        <w:t xml:space="preserve">. Nutrient composition of event IR-ØØGR2E-5 and non-transgenic control rice grown during the dry season in 2016 in the Philippines. Technical report, IR2016-05001 (unpublished) </w:t>
      </w:r>
      <w:r>
        <w:rPr>
          <w:rFonts w:cs="Arial"/>
          <w:color w:val="000000" w:themeColor="text1"/>
          <w:sz w:val="20"/>
          <w:szCs w:val="20"/>
          <w:lang w:eastAsia="en-GB" w:bidi="ar-SA"/>
        </w:rPr>
        <w:t>International Rice Research Ins</w:t>
      </w:r>
      <w:r w:rsidRPr="00D40157">
        <w:rPr>
          <w:rFonts w:cs="Arial"/>
          <w:color w:val="000000" w:themeColor="text1"/>
          <w:sz w:val="20"/>
          <w:szCs w:val="20"/>
          <w:lang w:eastAsia="en-GB" w:bidi="ar-SA"/>
        </w:rPr>
        <w:t>titute, Los Banos, Laguna, Philippines</w:t>
      </w:r>
    </w:p>
    <w:p w14:paraId="20643BFF" w14:textId="77777777" w:rsidR="00333AC0" w:rsidRPr="00601D41" w:rsidRDefault="00333AC0" w:rsidP="00011A05">
      <w:pPr>
        <w:widowControl/>
        <w:pBdr>
          <w:top w:val="single" w:sz="4" w:space="1" w:color="auto"/>
          <w:left w:val="single" w:sz="4" w:space="4" w:color="auto"/>
          <w:bottom w:val="single" w:sz="4" w:space="1" w:color="auto"/>
          <w:right w:val="single" w:sz="4" w:space="4" w:color="auto"/>
        </w:pBdr>
        <w:autoSpaceDE w:val="0"/>
        <w:autoSpaceDN w:val="0"/>
        <w:adjustRightInd w:val="0"/>
        <w:ind w:left="284" w:hanging="284"/>
        <w:rPr>
          <w:rFonts w:cs="Arial"/>
          <w:color w:val="000000" w:themeColor="text1"/>
          <w:sz w:val="20"/>
          <w:szCs w:val="20"/>
          <w:lang w:eastAsia="en-GB" w:bidi="ar-SA"/>
        </w:rPr>
      </w:pPr>
      <w:r>
        <w:rPr>
          <w:rFonts w:cs="Arial"/>
          <w:color w:val="000000" w:themeColor="text1"/>
          <w:sz w:val="20"/>
          <w:szCs w:val="20"/>
          <w:lang w:eastAsia="en-GB" w:bidi="ar-SA"/>
        </w:rPr>
        <w:t>2016</w:t>
      </w:r>
      <w:r w:rsidRPr="00D40157">
        <w:rPr>
          <w:rFonts w:cs="Arial"/>
          <w:color w:val="000000" w:themeColor="text1"/>
          <w:sz w:val="20"/>
          <w:szCs w:val="20"/>
          <w:lang w:eastAsia="en-GB" w:bidi="ar-SA"/>
        </w:rPr>
        <w:t xml:space="preserve">. Concentrations of beta-carotene and other carotenoids in grain samples from rice event IR-ØØGR2E-5. Technical report, IR2016-07004 (unpublished) </w:t>
      </w:r>
      <w:r w:rsidRPr="00601D41">
        <w:rPr>
          <w:rFonts w:cs="Arial"/>
          <w:color w:val="000000" w:themeColor="text1"/>
          <w:sz w:val="20"/>
          <w:szCs w:val="20"/>
          <w:lang w:eastAsia="en-GB" w:bidi="ar-SA"/>
        </w:rPr>
        <w:t>International Rice Research Institute, Los Banos, Laguna, Philippines</w:t>
      </w:r>
    </w:p>
    <w:p w14:paraId="20643C00" w14:textId="77777777" w:rsidR="00333AC0" w:rsidRPr="00601D41" w:rsidRDefault="00333AC0" w:rsidP="00011A05">
      <w:pPr>
        <w:rPr>
          <w:color w:val="000000" w:themeColor="text1"/>
        </w:rPr>
      </w:pPr>
    </w:p>
    <w:p w14:paraId="20643C01" w14:textId="77777777" w:rsidR="00333AC0" w:rsidRPr="00B275D4" w:rsidRDefault="00333AC0" w:rsidP="00011A05">
      <w:pPr>
        <w:rPr>
          <w:color w:val="000000" w:themeColor="text1"/>
          <w:szCs w:val="22"/>
        </w:rPr>
      </w:pPr>
      <w:r w:rsidRPr="00601D41">
        <w:rPr>
          <w:color w:val="000000" w:themeColor="text1"/>
          <w:szCs w:val="22"/>
        </w:rPr>
        <w:t>Verified (multiplex PCR) plants of GR2E in the Rc82 background (generation BC</w:t>
      </w:r>
      <w:r w:rsidRPr="00601D41">
        <w:rPr>
          <w:color w:val="000000" w:themeColor="text1"/>
          <w:szCs w:val="22"/>
          <w:vertAlign w:val="subscript"/>
        </w:rPr>
        <w:t>5</w:t>
      </w:r>
      <w:r w:rsidRPr="00601D41">
        <w:rPr>
          <w:color w:val="000000" w:themeColor="text1"/>
          <w:szCs w:val="22"/>
        </w:rPr>
        <w:t>F</w:t>
      </w:r>
      <w:r w:rsidRPr="00601D41">
        <w:rPr>
          <w:color w:val="000000" w:themeColor="text1"/>
          <w:szCs w:val="22"/>
          <w:vertAlign w:val="subscript"/>
        </w:rPr>
        <w:t>3</w:t>
      </w:r>
      <w:r w:rsidRPr="00601D41">
        <w:rPr>
          <w:color w:val="000000" w:themeColor="text1"/>
          <w:szCs w:val="22"/>
        </w:rPr>
        <w:t>*</w:t>
      </w:r>
      <w:r w:rsidRPr="00601D41">
        <w:rPr>
          <w:color w:val="000000" w:themeColor="text1"/>
          <w:szCs w:val="22"/>
          <w:vertAlign w:val="superscript"/>
        </w:rPr>
        <w:t xml:space="preserve">1 </w:t>
      </w:r>
      <w:r w:rsidRPr="00601D41">
        <w:rPr>
          <w:color w:val="000000" w:themeColor="text1"/>
          <w:szCs w:val="22"/>
        </w:rPr>
        <w:t>and</w:t>
      </w:r>
      <w:r w:rsidRPr="00601D41">
        <w:rPr>
          <w:color w:val="000000" w:themeColor="text1"/>
          <w:szCs w:val="22"/>
          <w:vertAlign w:val="superscript"/>
        </w:rPr>
        <w:t xml:space="preserve"> </w:t>
      </w:r>
      <w:r w:rsidRPr="00601D41">
        <w:rPr>
          <w:color w:val="000000" w:themeColor="text1"/>
          <w:szCs w:val="22"/>
        </w:rPr>
        <w:t>BC</w:t>
      </w:r>
      <w:r w:rsidRPr="00601D41">
        <w:rPr>
          <w:color w:val="000000" w:themeColor="text1"/>
          <w:szCs w:val="22"/>
          <w:vertAlign w:val="subscript"/>
        </w:rPr>
        <w:t>5</w:t>
      </w:r>
      <w:r w:rsidRPr="00601D41">
        <w:rPr>
          <w:color w:val="000000" w:themeColor="text1"/>
          <w:szCs w:val="22"/>
        </w:rPr>
        <w:t>F</w:t>
      </w:r>
      <w:r w:rsidRPr="00601D41">
        <w:rPr>
          <w:color w:val="000000" w:themeColor="text1"/>
          <w:szCs w:val="22"/>
          <w:vertAlign w:val="subscript"/>
        </w:rPr>
        <w:t>4</w:t>
      </w:r>
      <w:r w:rsidRPr="00601D41">
        <w:rPr>
          <w:color w:val="000000" w:themeColor="text1"/>
          <w:szCs w:val="22"/>
        </w:rPr>
        <w:t>*</w:t>
      </w:r>
      <w:r w:rsidRPr="00601D41">
        <w:rPr>
          <w:color w:val="000000" w:themeColor="text1"/>
          <w:szCs w:val="22"/>
          <w:vertAlign w:val="superscript"/>
        </w:rPr>
        <w:t>1</w:t>
      </w:r>
      <w:r w:rsidRPr="00601D41">
        <w:rPr>
          <w:color w:val="000000" w:themeColor="text1"/>
          <w:szCs w:val="22"/>
        </w:rPr>
        <w:t xml:space="preserve"> – </w:t>
      </w:r>
      <w:r w:rsidRPr="00B275D4">
        <w:rPr>
          <w:color w:val="000000" w:themeColor="text1"/>
          <w:szCs w:val="22"/>
        </w:rPr>
        <w:t xml:space="preserve">see Figure 4) together with a </w:t>
      </w:r>
      <w:r w:rsidRPr="00B275D4">
        <w:rPr>
          <w:rFonts w:ascii="CharterBT-Roman" w:hAnsi="CharterBT-Roman" w:cs="CharterBT-Roman"/>
          <w:color w:val="000000" w:themeColor="text1"/>
          <w:szCs w:val="22"/>
          <w:lang w:eastAsia="en-GB" w:bidi="ar-SA"/>
        </w:rPr>
        <w:t xml:space="preserve">near-isogenic non-transgenic </w:t>
      </w:r>
      <w:r w:rsidRPr="00B275D4">
        <w:rPr>
          <w:color w:val="000000" w:themeColor="text1"/>
          <w:szCs w:val="22"/>
        </w:rPr>
        <w:t>control, Rc82, were grown at four locations in the Philippines</w:t>
      </w:r>
      <w:r w:rsidRPr="00B275D4">
        <w:rPr>
          <w:rStyle w:val="FootnoteReference"/>
          <w:color w:val="000000" w:themeColor="text1"/>
          <w:szCs w:val="22"/>
        </w:rPr>
        <w:footnoteReference w:id="23"/>
      </w:r>
      <w:r w:rsidRPr="00B275D4">
        <w:rPr>
          <w:color w:val="000000" w:themeColor="text1"/>
          <w:szCs w:val="22"/>
        </w:rPr>
        <w:t xml:space="preserve"> on the largest island of Luzon (Figure 11) during: the rainy season in 2015 and the dry season in 2016. Planting and crop maintenance were done according to local agronomic practices at each site. These plantings overlapped with those used for the rainy and dry season protein expression analyses described in Section 4.1.3.2. </w:t>
      </w:r>
    </w:p>
    <w:p w14:paraId="20643C02" w14:textId="77777777" w:rsidR="00333AC0" w:rsidRPr="00B275D4" w:rsidRDefault="00333AC0" w:rsidP="00011A05">
      <w:pPr>
        <w:rPr>
          <w:rFonts w:cs="Arial"/>
          <w:szCs w:val="22"/>
          <w:lang w:eastAsia="en-GB" w:bidi="ar-SA"/>
        </w:rPr>
      </w:pPr>
    </w:p>
    <w:p w14:paraId="20643C03" w14:textId="77777777" w:rsidR="00333AC0" w:rsidRDefault="00333AC0" w:rsidP="00011A05">
      <w:pPr>
        <w:widowControl/>
        <w:autoSpaceDE w:val="0"/>
        <w:autoSpaceDN w:val="0"/>
        <w:adjustRightInd w:val="0"/>
        <w:rPr>
          <w:rFonts w:cs="Arial"/>
          <w:szCs w:val="22"/>
          <w:lang w:eastAsia="en-GB" w:bidi="ar-SA"/>
        </w:rPr>
      </w:pPr>
      <w:r w:rsidRPr="00B275D4">
        <w:rPr>
          <w:rFonts w:cs="Arial"/>
          <w:szCs w:val="22"/>
          <w:lang w:eastAsia="en-GB" w:bidi="ar-SA"/>
        </w:rPr>
        <w:t>Paddy rice grain</w:t>
      </w:r>
      <w:r w:rsidRPr="00B275D4">
        <w:rPr>
          <w:rStyle w:val="FootnoteReference"/>
          <w:rFonts w:cs="Arial"/>
          <w:szCs w:val="22"/>
          <w:lang w:eastAsia="en-GB" w:bidi="ar-SA"/>
        </w:rPr>
        <w:footnoteReference w:id="24"/>
      </w:r>
      <w:r w:rsidRPr="00B275D4">
        <w:rPr>
          <w:rFonts w:cs="Arial"/>
          <w:szCs w:val="22"/>
          <w:lang w:eastAsia="en-GB" w:bidi="ar-SA"/>
        </w:rPr>
        <w:t xml:space="preserve"> (approximately 12% moisture content – see Table 7) and straw samples were collected from matured rice plants, the stage when typical grain harvest</w:t>
      </w:r>
      <w:r w:rsidRPr="00D15B02">
        <w:rPr>
          <w:rFonts w:cs="Arial"/>
          <w:szCs w:val="22"/>
          <w:lang w:eastAsia="en-GB" w:bidi="ar-SA"/>
        </w:rPr>
        <w:t xml:space="preserve"> </w:t>
      </w:r>
      <w:r>
        <w:rPr>
          <w:rFonts w:cs="Arial"/>
          <w:szCs w:val="22"/>
          <w:lang w:eastAsia="en-GB" w:bidi="ar-SA"/>
        </w:rPr>
        <w:t xml:space="preserve">of paddy rice </w:t>
      </w:r>
      <w:r w:rsidRPr="00D15B02">
        <w:rPr>
          <w:rFonts w:cs="Arial"/>
          <w:szCs w:val="22"/>
          <w:lang w:eastAsia="en-GB" w:bidi="ar-SA"/>
        </w:rPr>
        <w:t>would occur. Grain was collected from at least</w:t>
      </w:r>
      <w:r>
        <w:rPr>
          <w:rFonts w:cs="Arial"/>
          <w:szCs w:val="22"/>
          <w:lang w:eastAsia="en-GB" w:bidi="ar-SA"/>
        </w:rPr>
        <w:t xml:space="preserve"> 150 plants per plot, excluding </w:t>
      </w:r>
      <w:r w:rsidRPr="00D15B02">
        <w:rPr>
          <w:rFonts w:cs="Arial"/>
          <w:szCs w:val="22"/>
          <w:lang w:eastAsia="en-GB" w:bidi="ar-SA"/>
        </w:rPr>
        <w:t>the outer rows, and pooled into a single sample per plot. St</w:t>
      </w:r>
      <w:r>
        <w:rPr>
          <w:rFonts w:cs="Arial"/>
          <w:szCs w:val="22"/>
          <w:lang w:eastAsia="en-GB" w:bidi="ar-SA"/>
        </w:rPr>
        <w:t>raw was collected from at least eight</w:t>
      </w:r>
      <w:r w:rsidRPr="00D15B02">
        <w:rPr>
          <w:rFonts w:cs="Arial"/>
          <w:szCs w:val="22"/>
          <w:lang w:eastAsia="en-GB" w:bidi="ar-SA"/>
        </w:rPr>
        <w:t xml:space="preserve"> plants per plot, randomly selected and excluding the outer</w:t>
      </w:r>
      <w:r>
        <w:rPr>
          <w:rFonts w:cs="Arial"/>
          <w:szCs w:val="22"/>
          <w:lang w:eastAsia="en-GB" w:bidi="ar-SA"/>
        </w:rPr>
        <w:t xml:space="preserve"> rows, and pooled into a single </w:t>
      </w:r>
      <w:r w:rsidRPr="00D15B02">
        <w:rPr>
          <w:rFonts w:cs="Arial"/>
          <w:szCs w:val="22"/>
          <w:lang w:eastAsia="en-GB" w:bidi="ar-SA"/>
        </w:rPr>
        <w:t>sample per plot.</w:t>
      </w:r>
    </w:p>
    <w:p w14:paraId="20643C04" w14:textId="77777777" w:rsidR="00333AC0" w:rsidRDefault="00333AC0" w:rsidP="00011A05">
      <w:pPr>
        <w:widowControl/>
        <w:autoSpaceDE w:val="0"/>
        <w:autoSpaceDN w:val="0"/>
        <w:adjustRightInd w:val="0"/>
        <w:rPr>
          <w:rFonts w:cs="Arial"/>
          <w:szCs w:val="22"/>
          <w:lang w:eastAsia="en-GB" w:bidi="ar-SA"/>
        </w:rPr>
      </w:pPr>
    </w:p>
    <w:p w14:paraId="20643C05" w14:textId="77777777" w:rsidR="00333AC0" w:rsidRPr="00F70C3D" w:rsidRDefault="00333AC0" w:rsidP="00011A05">
      <w:pPr>
        <w:autoSpaceDE w:val="0"/>
        <w:autoSpaceDN w:val="0"/>
        <w:adjustRightInd w:val="0"/>
        <w:rPr>
          <w:rFonts w:cs="Arial"/>
          <w:color w:val="000000" w:themeColor="text1"/>
          <w:szCs w:val="22"/>
        </w:rPr>
      </w:pPr>
      <w:r w:rsidRPr="00F70C3D">
        <w:rPr>
          <w:rFonts w:cs="Arial"/>
          <w:color w:val="000000" w:themeColor="text1"/>
          <w:szCs w:val="22"/>
        </w:rPr>
        <w:t xml:space="preserve">Methods of composition analysis were based on internationally recognised procedures (e.g. those of the Association of Official Analytical Chemists), methods specified by the manufacturer of the equipment used for analysis, or other published methods. </w:t>
      </w:r>
    </w:p>
    <w:p w14:paraId="20643C06" w14:textId="77777777" w:rsidR="00333AC0" w:rsidRPr="00C52CB1" w:rsidRDefault="00333AC0" w:rsidP="00EF0AC4">
      <w:pPr>
        <w:pStyle w:val="Heading2"/>
      </w:pPr>
      <w:bookmarkStart w:id="55" w:name="_Toc470008728"/>
      <w:r w:rsidRPr="00C52CB1">
        <w:t>5.3</w:t>
      </w:r>
      <w:r w:rsidRPr="00C52CB1">
        <w:tab/>
        <w:t xml:space="preserve">Analyses of key components in </w:t>
      </w:r>
      <w:r>
        <w:t>grain</w:t>
      </w:r>
      <w:bookmarkEnd w:id="55"/>
    </w:p>
    <w:p w14:paraId="20643C07" w14:textId="77777777" w:rsidR="00333AC0" w:rsidRPr="006E416C" w:rsidRDefault="00333AC0" w:rsidP="00011A05">
      <w:pPr>
        <w:widowControl/>
        <w:autoSpaceDE w:val="0"/>
        <w:autoSpaceDN w:val="0"/>
        <w:adjustRightInd w:val="0"/>
        <w:rPr>
          <w:rFonts w:cs="Arial"/>
          <w:color w:val="000000" w:themeColor="text1"/>
          <w:szCs w:val="22"/>
          <w:lang w:eastAsia="en-GB" w:bidi="ar-SA"/>
        </w:rPr>
      </w:pPr>
      <w:r w:rsidRPr="00C52CB1">
        <w:rPr>
          <w:rFonts w:cs="Arial"/>
          <w:color w:val="000000" w:themeColor="text1"/>
          <w:szCs w:val="22"/>
          <w:lang w:eastAsia="en-GB" w:bidi="ar-SA"/>
        </w:rPr>
        <w:t>Grain samples were analysed for proximates, fibre, sugars, fatty acids, amino acids, minerals, vitamins, and anti-nutrients (phytic acid and trypsin inhibitor).</w:t>
      </w:r>
      <w:r>
        <w:rPr>
          <w:rFonts w:cs="Arial"/>
          <w:color w:val="000000" w:themeColor="text1"/>
          <w:szCs w:val="22"/>
          <w:lang w:eastAsia="en-GB" w:bidi="ar-SA"/>
        </w:rPr>
        <w:t xml:space="preserve"> In total, 69</w:t>
      </w:r>
      <w:r w:rsidRPr="00C52CB1">
        <w:rPr>
          <w:rFonts w:cs="Arial"/>
          <w:color w:val="000000" w:themeColor="text1"/>
          <w:szCs w:val="22"/>
          <w:lang w:eastAsia="en-GB" w:bidi="ar-SA"/>
        </w:rPr>
        <w:t xml:space="preserve"> analytes </w:t>
      </w:r>
      <w:r w:rsidRPr="006E416C">
        <w:rPr>
          <w:rFonts w:cs="Arial"/>
          <w:color w:val="000000" w:themeColor="text1"/>
          <w:szCs w:val="22"/>
          <w:lang w:eastAsia="en-GB" w:bidi="ar-SA"/>
        </w:rPr>
        <w:t>were assessed.</w:t>
      </w:r>
      <w:r w:rsidRPr="006E416C">
        <w:rPr>
          <w:rFonts w:cs="Arial"/>
          <w:bCs/>
          <w:color w:val="000000" w:themeColor="text1"/>
          <w:szCs w:val="22"/>
        </w:rPr>
        <w:t xml:space="preserve"> In addition to these analytes the Applicant provided data and analysis on </w:t>
      </w:r>
      <w:r>
        <w:rPr>
          <w:rFonts w:cs="Arial"/>
          <w:bCs/>
          <w:color w:val="000000" w:themeColor="text1"/>
          <w:szCs w:val="22"/>
        </w:rPr>
        <w:t>five carotenoid categories.</w:t>
      </w:r>
    </w:p>
    <w:p w14:paraId="20643C08" w14:textId="77777777" w:rsidR="00333AC0" w:rsidRPr="00732D45" w:rsidRDefault="00333AC0" w:rsidP="00011A05">
      <w:pPr>
        <w:widowControl/>
        <w:autoSpaceDE w:val="0"/>
        <w:autoSpaceDN w:val="0"/>
        <w:adjustRightInd w:val="0"/>
        <w:rPr>
          <w:rFonts w:cs="Arial"/>
          <w:color w:val="000000" w:themeColor="text1"/>
          <w:szCs w:val="22"/>
          <w:lang w:eastAsia="en-GB" w:bidi="ar-SA"/>
        </w:rPr>
      </w:pPr>
      <w:r w:rsidRPr="00821C60">
        <w:rPr>
          <w:rFonts w:cs="Arial"/>
          <w:color w:val="000000" w:themeColor="text1"/>
          <w:szCs w:val="22"/>
        </w:rPr>
        <w:t>For each analyte a least squares mean (LSM) averaged over all sites and both growing seasons, was generated</w:t>
      </w:r>
      <w:r w:rsidRPr="00821C60">
        <w:rPr>
          <w:rFonts w:cs="Arial"/>
          <w:bCs/>
          <w:color w:val="000000" w:themeColor="text1"/>
          <w:szCs w:val="22"/>
        </w:rPr>
        <w:t>. Statistical</w:t>
      </w:r>
      <w:r w:rsidRPr="00732D45">
        <w:rPr>
          <w:rFonts w:cs="Arial"/>
          <w:bCs/>
          <w:color w:val="000000" w:themeColor="text1"/>
          <w:szCs w:val="22"/>
        </w:rPr>
        <w:t xml:space="preserve"> analyses were performed using R </w:t>
      </w:r>
      <w:r w:rsidRPr="00732D45">
        <w:rPr>
          <w:rFonts w:cs="Arial"/>
          <w:bCs/>
          <w:noProof/>
          <w:color w:val="000000" w:themeColor="text1"/>
          <w:szCs w:val="22"/>
        </w:rPr>
        <w:t>(R Development Core Team 2011)</w:t>
      </w:r>
      <w:r w:rsidRPr="00732D45">
        <w:rPr>
          <w:rFonts w:cs="Arial"/>
          <w:bCs/>
          <w:color w:val="000000" w:themeColor="text1"/>
          <w:szCs w:val="22"/>
        </w:rPr>
        <w:t xml:space="preserve"> and included </w:t>
      </w:r>
      <w:r w:rsidRPr="00732D45">
        <w:rPr>
          <w:rFonts w:cs="Arial"/>
          <w:color w:val="000000" w:themeColor="text1"/>
          <w:szCs w:val="22"/>
          <w:lang w:eastAsia="en-GB" w:bidi="ar-SA"/>
        </w:rPr>
        <w:t xml:space="preserve">the "lmerTest" </w:t>
      </w:r>
      <w:r w:rsidRPr="00732D45">
        <w:rPr>
          <w:rFonts w:cs="Arial"/>
          <w:noProof/>
          <w:color w:val="000000" w:themeColor="text1"/>
          <w:szCs w:val="22"/>
          <w:lang w:eastAsia="en-GB" w:bidi="ar-SA"/>
        </w:rPr>
        <w:t>(Bates et al. 2016)</w:t>
      </w:r>
      <w:r w:rsidRPr="00732D45">
        <w:rPr>
          <w:rFonts w:cs="Arial"/>
          <w:color w:val="000000" w:themeColor="text1"/>
          <w:szCs w:val="22"/>
          <w:lang w:eastAsia="en-GB" w:bidi="ar-SA"/>
        </w:rPr>
        <w:t xml:space="preserve"> package. </w:t>
      </w:r>
      <w:r w:rsidRPr="00732D45">
        <w:rPr>
          <w:rFonts w:cs="Arial"/>
          <w:bCs/>
          <w:color w:val="000000" w:themeColor="text1"/>
          <w:szCs w:val="22"/>
        </w:rPr>
        <w:t xml:space="preserve">For each analyte, </w:t>
      </w:r>
      <w:r w:rsidRPr="00732D45">
        <w:rPr>
          <w:rFonts w:cs="Arial"/>
          <w:bCs/>
          <w:color w:val="000000" w:themeColor="text1"/>
        </w:rPr>
        <w:t xml:space="preserve">a linear mixed model Analysis of Variance was used by combining data from the two test years and four locations. </w:t>
      </w:r>
      <w:r w:rsidRPr="00732D45">
        <w:rPr>
          <w:rFonts w:cs="Arial"/>
          <w:color w:val="000000" w:themeColor="text1"/>
          <w:szCs w:val="22"/>
          <w:lang w:eastAsia="en-GB" w:bidi="ar-SA"/>
        </w:rPr>
        <w:t xml:space="preserve">The “lmer” procedure from the “lmerTest” package was used to fit the linear mixed model and to generate estimates of variance components and p-values. </w:t>
      </w:r>
      <w:r w:rsidRPr="00732D45">
        <w:rPr>
          <w:rFonts w:cs="Arial"/>
          <w:bCs/>
          <w:color w:val="000000" w:themeColor="text1"/>
        </w:rPr>
        <w:t>In assessing the significance of any difference between the mean analyte value for GR2E and the control, a p-value of 0.05 was used. This means that approximately 5% of statistically significant differences are expected to occur due to chance alone.</w:t>
      </w:r>
    </w:p>
    <w:p w14:paraId="20643C09" w14:textId="77777777" w:rsidR="00333AC0" w:rsidRPr="00732D45" w:rsidRDefault="00333AC0" w:rsidP="00011A05">
      <w:pPr>
        <w:rPr>
          <w:bCs/>
          <w:color w:val="000000" w:themeColor="text1"/>
        </w:rPr>
      </w:pPr>
    </w:p>
    <w:p w14:paraId="20643C0A" w14:textId="77777777" w:rsidR="00333AC0" w:rsidRPr="00F70C3D" w:rsidRDefault="00333AC0" w:rsidP="00011A05">
      <w:pPr>
        <w:rPr>
          <w:rFonts w:cs="Arial"/>
          <w:color w:val="000000" w:themeColor="text1"/>
          <w:szCs w:val="22"/>
        </w:rPr>
      </w:pPr>
      <w:r w:rsidRPr="00732D45">
        <w:rPr>
          <w:rFonts w:cs="Arial"/>
          <w:color w:val="000000" w:themeColor="text1"/>
          <w:szCs w:val="22"/>
        </w:rPr>
        <w:t xml:space="preserve">To assess whether any statistically significant differences are likely to be biologically meaningful. the results for GR2E and the Rc82 control have been compared to a combined literature </w:t>
      </w:r>
      <w:r w:rsidRPr="00F70C3D">
        <w:rPr>
          <w:rFonts w:cs="Arial"/>
          <w:color w:val="000000" w:themeColor="text1"/>
          <w:szCs w:val="22"/>
        </w:rPr>
        <w:t>range for each analyte, compiled from published literature for commercially avail</w:t>
      </w:r>
      <w:r>
        <w:rPr>
          <w:rFonts w:cs="Arial"/>
          <w:color w:val="000000" w:themeColor="text1"/>
          <w:szCs w:val="22"/>
        </w:rPr>
        <w:t xml:space="preserve">able rice. </w:t>
      </w:r>
      <w:r w:rsidRPr="00F70C3D">
        <w:rPr>
          <w:rFonts w:cs="Arial"/>
          <w:color w:val="000000" w:themeColor="text1"/>
          <w:szCs w:val="22"/>
        </w:rPr>
        <w:t xml:space="preserve">It is noted, however, that information in the published literature </w:t>
      </w:r>
      <w:r>
        <w:rPr>
          <w:rFonts w:cs="Arial"/>
          <w:color w:val="000000" w:themeColor="text1"/>
          <w:szCs w:val="22"/>
        </w:rPr>
        <w:t xml:space="preserve">for paddy rice </w:t>
      </w:r>
      <w:r w:rsidRPr="00F70C3D">
        <w:rPr>
          <w:rFonts w:cs="Arial"/>
          <w:color w:val="000000" w:themeColor="text1"/>
          <w:szCs w:val="22"/>
        </w:rPr>
        <w:t xml:space="preserve">is </w:t>
      </w:r>
      <w:r>
        <w:rPr>
          <w:rFonts w:cs="Arial"/>
          <w:color w:val="000000" w:themeColor="text1"/>
          <w:szCs w:val="22"/>
        </w:rPr>
        <w:t xml:space="preserve">very </w:t>
      </w:r>
      <w:r w:rsidRPr="00F70C3D">
        <w:rPr>
          <w:rFonts w:cs="Arial"/>
          <w:color w:val="000000" w:themeColor="text1"/>
          <w:szCs w:val="22"/>
        </w:rPr>
        <w:t xml:space="preserve">limited and is unlikely to provide </w:t>
      </w:r>
      <w:r w:rsidRPr="00FF26D4">
        <w:rPr>
          <w:rFonts w:cs="Arial"/>
          <w:color w:val="000000" w:themeColor="text1"/>
          <w:szCs w:val="22"/>
        </w:rPr>
        <w:t>a broad reflection of the natural di</w:t>
      </w:r>
      <w:r>
        <w:rPr>
          <w:rFonts w:cs="Arial"/>
          <w:color w:val="000000" w:themeColor="text1"/>
          <w:szCs w:val="22"/>
        </w:rPr>
        <w:t xml:space="preserve">versity that occurs within rice. </w:t>
      </w:r>
      <w:r w:rsidRPr="00FF26D4">
        <w:rPr>
          <w:rFonts w:cs="Arial"/>
          <w:color w:val="000000" w:themeColor="text1"/>
          <w:szCs w:val="22"/>
        </w:rPr>
        <w:t xml:space="preserve">Therefore, even if means fall outside the published </w:t>
      </w:r>
      <w:r>
        <w:rPr>
          <w:rFonts w:cs="Arial"/>
          <w:color w:val="000000" w:themeColor="text1"/>
          <w:szCs w:val="22"/>
        </w:rPr>
        <w:t>range, this is not necessarily</w:t>
      </w:r>
      <w:r w:rsidRPr="00FF26D4">
        <w:rPr>
          <w:rFonts w:cs="Arial"/>
          <w:color w:val="000000" w:themeColor="text1"/>
          <w:szCs w:val="22"/>
        </w:rPr>
        <w:t xml:space="preserve"> a concern.</w:t>
      </w:r>
    </w:p>
    <w:p w14:paraId="20643C0B" w14:textId="77777777" w:rsidR="00333AC0" w:rsidRPr="00E308F0" w:rsidRDefault="00333AC0" w:rsidP="00011A05">
      <w:pPr>
        <w:pStyle w:val="Heading3"/>
      </w:pPr>
      <w:r w:rsidRPr="00E308F0">
        <w:t>5.3.1</w:t>
      </w:r>
      <w:r w:rsidRPr="00E308F0">
        <w:tab/>
        <w:t>Proximates and fibre</w:t>
      </w:r>
    </w:p>
    <w:p w14:paraId="20643C0C" w14:textId="77777777" w:rsidR="00333AC0" w:rsidRPr="008B796C" w:rsidRDefault="00333AC0" w:rsidP="00011A05">
      <w:pPr>
        <w:autoSpaceDE w:val="0"/>
        <w:autoSpaceDN w:val="0"/>
        <w:adjustRightInd w:val="0"/>
        <w:rPr>
          <w:color w:val="000000" w:themeColor="text1"/>
        </w:rPr>
      </w:pPr>
      <w:r w:rsidRPr="008B796C">
        <w:rPr>
          <w:color w:val="000000" w:themeColor="text1"/>
        </w:rPr>
        <w:t xml:space="preserve">The analyses in this category also included measurement of the levels of amylose and starch as these are </w:t>
      </w:r>
      <w:r>
        <w:rPr>
          <w:color w:val="000000" w:themeColor="text1"/>
        </w:rPr>
        <w:t>nutritionally significant carbohydrate</w:t>
      </w:r>
      <w:r w:rsidRPr="008B796C">
        <w:rPr>
          <w:color w:val="000000" w:themeColor="text1"/>
        </w:rPr>
        <w:t xml:space="preserve"> components of the rice grain. The results are given </w:t>
      </w:r>
      <w:r w:rsidRPr="00B275D4">
        <w:rPr>
          <w:color w:val="000000" w:themeColor="text1"/>
        </w:rPr>
        <w:t>in Table 7 and show</w:t>
      </w:r>
      <w:r w:rsidRPr="008B796C">
        <w:rPr>
          <w:color w:val="000000" w:themeColor="text1"/>
        </w:rPr>
        <w:t xml:space="preserve"> there was no significant difference between the means for GR2E and those for the control for any </w:t>
      </w:r>
      <w:r>
        <w:rPr>
          <w:color w:val="000000" w:themeColor="text1"/>
        </w:rPr>
        <w:t>analyte measured.</w:t>
      </w:r>
    </w:p>
    <w:p w14:paraId="20643C0D" w14:textId="77777777" w:rsidR="00333AC0" w:rsidRDefault="00333AC0">
      <w:pPr>
        <w:widowControl/>
        <w:rPr>
          <w:b/>
          <w:bCs/>
          <w:szCs w:val="22"/>
          <w:lang w:val="en-AU" w:bidi="ar-SA"/>
        </w:rPr>
      </w:pPr>
    </w:p>
    <w:p w14:paraId="20643C0E" w14:textId="77777777" w:rsidR="00333AC0" w:rsidRPr="007A764A" w:rsidRDefault="00333AC0" w:rsidP="00011A05">
      <w:pPr>
        <w:pStyle w:val="Caption"/>
        <w:keepNext/>
        <w:ind w:left="993" w:hanging="993"/>
        <w:rPr>
          <w:sz w:val="22"/>
          <w:szCs w:val="22"/>
        </w:rPr>
      </w:pPr>
      <w:bookmarkStart w:id="56" w:name="_Toc487212006"/>
      <w:r w:rsidRPr="007A764A">
        <w:rPr>
          <w:sz w:val="22"/>
          <w:szCs w:val="22"/>
        </w:rPr>
        <w:t xml:space="preserve">Table </w:t>
      </w:r>
      <w:r w:rsidRPr="007A764A">
        <w:rPr>
          <w:sz w:val="22"/>
          <w:szCs w:val="22"/>
        </w:rPr>
        <w:fldChar w:fldCharType="begin"/>
      </w:r>
      <w:r w:rsidRPr="007A764A">
        <w:rPr>
          <w:sz w:val="22"/>
          <w:szCs w:val="22"/>
        </w:rPr>
        <w:instrText xml:space="preserve"> SEQ Table \* ARABIC </w:instrText>
      </w:r>
      <w:r w:rsidRPr="007A764A">
        <w:rPr>
          <w:sz w:val="22"/>
          <w:szCs w:val="22"/>
        </w:rPr>
        <w:fldChar w:fldCharType="separate"/>
      </w:r>
      <w:r w:rsidR="00286242">
        <w:rPr>
          <w:noProof/>
          <w:sz w:val="22"/>
          <w:szCs w:val="22"/>
        </w:rPr>
        <w:t>7</w:t>
      </w:r>
      <w:r w:rsidRPr="007A764A">
        <w:rPr>
          <w:sz w:val="22"/>
          <w:szCs w:val="22"/>
        </w:rPr>
        <w:fldChar w:fldCharType="end"/>
      </w:r>
      <w:r>
        <w:rPr>
          <w:sz w:val="22"/>
          <w:szCs w:val="22"/>
        </w:rPr>
        <w:t>: Mean percentage (range) of</w:t>
      </w:r>
      <w:r w:rsidRPr="007A764A">
        <w:rPr>
          <w:sz w:val="22"/>
          <w:szCs w:val="22"/>
        </w:rPr>
        <w:t xml:space="preserve"> proximates and fibre in </w:t>
      </w:r>
      <w:r>
        <w:rPr>
          <w:sz w:val="22"/>
          <w:szCs w:val="22"/>
        </w:rPr>
        <w:t xml:space="preserve">paddy rice </w:t>
      </w:r>
      <w:r w:rsidRPr="007A764A">
        <w:rPr>
          <w:sz w:val="22"/>
          <w:szCs w:val="22"/>
        </w:rPr>
        <w:t>grain of GR2E and the Rc82 control collected over two growing seasons and four locations</w:t>
      </w:r>
      <w:bookmarkEnd w:id="56"/>
    </w:p>
    <w:p w14:paraId="20643C0F" w14:textId="77777777" w:rsidR="00333AC0" w:rsidRPr="007A764A" w:rsidRDefault="00333AC0" w:rsidP="00011A05">
      <w:pPr>
        <w:rPr>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7: Mean percentage (range) of proximates and fibre in paddy rice grain of GR2E and the Rc82 control collected over two growing seasons and four locations"/>
      </w:tblPr>
      <w:tblGrid>
        <w:gridCol w:w="1951"/>
        <w:gridCol w:w="1701"/>
        <w:gridCol w:w="1701"/>
        <w:gridCol w:w="1276"/>
        <w:gridCol w:w="1701"/>
      </w:tblGrid>
      <w:tr w:rsidR="00333AC0" w:rsidRPr="00E308F0" w14:paraId="20643C15" w14:textId="77777777" w:rsidTr="00011A05">
        <w:trPr>
          <w:trHeight w:val="880"/>
          <w:tblHeader/>
        </w:trPr>
        <w:tc>
          <w:tcPr>
            <w:tcW w:w="1951" w:type="dxa"/>
            <w:tcBorders>
              <w:bottom w:val="single" w:sz="4" w:space="0" w:color="auto"/>
            </w:tcBorders>
            <w:shd w:val="clear" w:color="auto" w:fill="9BBB59" w:themeFill="accent3"/>
            <w:noWrap/>
            <w:vAlign w:val="center"/>
          </w:tcPr>
          <w:p w14:paraId="20643C10" w14:textId="77777777" w:rsidR="00333AC0" w:rsidRPr="00AA6C46" w:rsidRDefault="00333AC0" w:rsidP="00011A05">
            <w:pPr>
              <w:jc w:val="center"/>
              <w:rPr>
                <w:rFonts w:cs="Arial"/>
                <w:b/>
                <w:bCs/>
                <w:color w:val="FFFFFF" w:themeColor="background1"/>
                <w:sz w:val="18"/>
                <w:szCs w:val="18"/>
              </w:rPr>
            </w:pPr>
            <w:r w:rsidRPr="00AA6C46">
              <w:rPr>
                <w:rFonts w:cs="Arial"/>
                <w:b/>
                <w:bCs/>
                <w:color w:val="FFFFFF" w:themeColor="background1"/>
                <w:sz w:val="18"/>
                <w:szCs w:val="18"/>
              </w:rPr>
              <w:t>Analyte</w:t>
            </w:r>
            <w:r w:rsidRPr="00AA6C46">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C11" w14:textId="77777777" w:rsidR="00333AC0" w:rsidRPr="00AA6C46" w:rsidRDefault="00333AC0" w:rsidP="00011A05">
            <w:pPr>
              <w:jc w:val="center"/>
              <w:rPr>
                <w:rFonts w:cs="Arial"/>
                <w:b/>
                <w:bCs/>
                <w:color w:val="FFFFFF" w:themeColor="background1"/>
                <w:sz w:val="18"/>
                <w:szCs w:val="18"/>
              </w:rPr>
            </w:pPr>
            <w:r w:rsidRPr="00AA6C46">
              <w:rPr>
                <w:rFonts w:eastAsiaTheme="minorHAnsi" w:cs="Arial"/>
                <w:b/>
                <w:color w:val="FFFFFF" w:themeColor="background1"/>
                <w:sz w:val="18"/>
                <w:szCs w:val="18"/>
              </w:rPr>
              <w:t>GR2E</w:t>
            </w:r>
          </w:p>
        </w:tc>
        <w:tc>
          <w:tcPr>
            <w:tcW w:w="1701" w:type="dxa"/>
            <w:tcBorders>
              <w:bottom w:val="single" w:sz="4" w:space="0" w:color="auto"/>
            </w:tcBorders>
            <w:shd w:val="clear" w:color="auto" w:fill="9BBB59" w:themeFill="accent3"/>
            <w:vAlign w:val="center"/>
          </w:tcPr>
          <w:p w14:paraId="20643C12" w14:textId="77777777" w:rsidR="00333AC0" w:rsidRPr="00AA6C46" w:rsidRDefault="00333AC0" w:rsidP="00011A05">
            <w:pPr>
              <w:jc w:val="center"/>
              <w:rPr>
                <w:rFonts w:eastAsiaTheme="minorHAnsi" w:cs="Arial"/>
                <w:b/>
                <w:color w:val="FFFFFF" w:themeColor="background1"/>
                <w:sz w:val="18"/>
                <w:szCs w:val="18"/>
              </w:rPr>
            </w:pPr>
            <w:r w:rsidRPr="00AA6C46">
              <w:rPr>
                <w:rFonts w:eastAsiaTheme="minorHAnsi" w:cs="Arial"/>
                <w:b/>
                <w:color w:val="FFFFFF" w:themeColor="background1"/>
                <w:sz w:val="18"/>
                <w:szCs w:val="18"/>
              </w:rPr>
              <w:t>Control</w:t>
            </w:r>
          </w:p>
        </w:tc>
        <w:tc>
          <w:tcPr>
            <w:tcW w:w="1276" w:type="dxa"/>
            <w:tcBorders>
              <w:bottom w:val="single" w:sz="4" w:space="0" w:color="auto"/>
            </w:tcBorders>
            <w:shd w:val="clear" w:color="auto" w:fill="9BBB59" w:themeFill="accent3"/>
            <w:vAlign w:val="center"/>
          </w:tcPr>
          <w:p w14:paraId="20643C13" w14:textId="77777777" w:rsidR="00333AC0" w:rsidRPr="00AA6C46"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AA6C46">
              <w:rPr>
                <w:rFonts w:cs="Arial"/>
                <w:b/>
                <w:bCs/>
                <w:color w:val="FFFFFF" w:themeColor="background1"/>
                <w:sz w:val="18"/>
                <w:szCs w:val="18"/>
              </w:rPr>
              <w:t>-value</w:t>
            </w:r>
            <w:r>
              <w:rPr>
                <w:rFonts w:cs="Arial"/>
                <w:b/>
                <w:bCs/>
                <w:color w:val="FFFFFF" w:themeColor="background1"/>
                <w:sz w:val="18"/>
                <w:szCs w:val="18"/>
                <w:vertAlign w:val="superscript"/>
              </w:rPr>
              <w:t>3</w:t>
            </w:r>
          </w:p>
        </w:tc>
        <w:tc>
          <w:tcPr>
            <w:tcW w:w="1701" w:type="dxa"/>
            <w:tcBorders>
              <w:bottom w:val="single" w:sz="4" w:space="0" w:color="auto"/>
            </w:tcBorders>
            <w:shd w:val="clear" w:color="auto" w:fill="9BBB59" w:themeFill="accent3"/>
            <w:vAlign w:val="center"/>
          </w:tcPr>
          <w:p w14:paraId="20643C14" w14:textId="77777777" w:rsidR="00333AC0" w:rsidRPr="00AA6C46" w:rsidRDefault="00333AC0" w:rsidP="00011A05">
            <w:pPr>
              <w:jc w:val="center"/>
              <w:rPr>
                <w:rFonts w:cs="Arial"/>
                <w:b/>
                <w:bCs/>
                <w:color w:val="FFFFFF" w:themeColor="background1"/>
                <w:sz w:val="18"/>
                <w:szCs w:val="18"/>
              </w:rPr>
            </w:pPr>
            <w:r w:rsidRPr="00AA6C46">
              <w:rPr>
                <w:rFonts w:cs="Arial"/>
                <w:b/>
                <w:bCs/>
                <w:color w:val="FFFFFF" w:themeColor="background1"/>
                <w:sz w:val="18"/>
                <w:szCs w:val="18"/>
              </w:rPr>
              <w:t>Combined literature</w:t>
            </w:r>
            <w:r w:rsidRPr="00AA6C46">
              <w:rPr>
                <w:rFonts w:cs="Arial"/>
                <w:b/>
                <w:bCs/>
                <w:color w:val="FFFFFF" w:themeColor="background1"/>
                <w:sz w:val="18"/>
                <w:szCs w:val="18"/>
              </w:rPr>
              <w:br/>
              <w:t>range</w:t>
            </w:r>
            <w:r>
              <w:rPr>
                <w:rFonts w:cs="Arial"/>
                <w:b/>
                <w:bCs/>
                <w:color w:val="FFFFFF" w:themeColor="background1"/>
                <w:sz w:val="18"/>
                <w:szCs w:val="18"/>
                <w:vertAlign w:val="superscript"/>
              </w:rPr>
              <w:t>4</w:t>
            </w:r>
            <w:r w:rsidRPr="00AA6C46">
              <w:rPr>
                <w:rFonts w:cs="Arial"/>
                <w:b/>
                <w:bCs/>
                <w:color w:val="FFFFFF" w:themeColor="background1"/>
                <w:sz w:val="18"/>
                <w:szCs w:val="18"/>
              </w:rPr>
              <w:t xml:space="preserve"> </w:t>
            </w:r>
          </w:p>
        </w:tc>
      </w:tr>
      <w:tr w:rsidR="00333AC0" w:rsidRPr="00E308F0" w14:paraId="20643C1D" w14:textId="77777777" w:rsidTr="00011A05">
        <w:trPr>
          <w:trHeight w:val="510"/>
        </w:trPr>
        <w:tc>
          <w:tcPr>
            <w:tcW w:w="1951" w:type="dxa"/>
            <w:shd w:val="clear" w:color="auto" w:fill="auto"/>
            <w:noWrap/>
            <w:vAlign w:val="center"/>
          </w:tcPr>
          <w:p w14:paraId="20643C16"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Crude Protein (%)</w:t>
            </w:r>
          </w:p>
        </w:tc>
        <w:tc>
          <w:tcPr>
            <w:tcW w:w="1701" w:type="dxa"/>
            <w:vAlign w:val="center"/>
          </w:tcPr>
          <w:p w14:paraId="20643C17"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8.10</w:t>
            </w:r>
          </w:p>
          <w:p w14:paraId="20643C18"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(6.07 – 11.2)</w:t>
            </w:r>
          </w:p>
        </w:tc>
        <w:tc>
          <w:tcPr>
            <w:tcW w:w="1701" w:type="dxa"/>
            <w:vAlign w:val="center"/>
          </w:tcPr>
          <w:p w14:paraId="20643C19"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 xml:space="preserve">8.26 </w:t>
            </w:r>
          </w:p>
          <w:p w14:paraId="20643C1A"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(6.03 – 11.4)</w:t>
            </w:r>
          </w:p>
        </w:tc>
        <w:tc>
          <w:tcPr>
            <w:tcW w:w="1276" w:type="dxa"/>
            <w:vAlign w:val="center"/>
          </w:tcPr>
          <w:p w14:paraId="20643C1B"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0.5445</w:t>
            </w:r>
          </w:p>
        </w:tc>
        <w:tc>
          <w:tcPr>
            <w:tcW w:w="1701" w:type="dxa"/>
            <w:shd w:val="clear" w:color="auto" w:fill="auto"/>
            <w:noWrap/>
            <w:vAlign w:val="center"/>
          </w:tcPr>
          <w:p w14:paraId="20643C1C" w14:textId="77777777" w:rsidR="00333AC0" w:rsidRPr="006A228E" w:rsidRDefault="00333AC0" w:rsidP="00011A05">
            <w:pPr>
              <w:jc w:val="center"/>
              <w:rPr>
                <w:rFonts w:cs="Arial"/>
                <w:color w:val="000000" w:themeColor="text1"/>
                <w:sz w:val="18"/>
                <w:szCs w:val="18"/>
              </w:rPr>
            </w:pPr>
            <w:r w:rsidRPr="006A228E">
              <w:rPr>
                <w:rFonts w:cs="Arial"/>
                <w:color w:val="000000" w:themeColor="text1"/>
                <w:sz w:val="18"/>
                <w:szCs w:val="18"/>
              </w:rPr>
              <w:t xml:space="preserve">5.9 – 11.8 </w:t>
            </w:r>
          </w:p>
        </w:tc>
      </w:tr>
      <w:tr w:rsidR="00333AC0" w:rsidRPr="00E308F0" w14:paraId="20643C25" w14:textId="77777777" w:rsidTr="00011A05">
        <w:trPr>
          <w:trHeight w:val="510"/>
        </w:trPr>
        <w:tc>
          <w:tcPr>
            <w:tcW w:w="1951" w:type="dxa"/>
            <w:shd w:val="clear" w:color="auto" w:fill="EAF1DD" w:themeFill="accent3" w:themeFillTint="33"/>
            <w:noWrap/>
            <w:vAlign w:val="center"/>
          </w:tcPr>
          <w:p w14:paraId="20643C1E"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Crude Fat (%)</w:t>
            </w:r>
          </w:p>
        </w:tc>
        <w:tc>
          <w:tcPr>
            <w:tcW w:w="1701" w:type="dxa"/>
            <w:shd w:val="clear" w:color="auto" w:fill="EAF1DD" w:themeFill="accent3" w:themeFillTint="33"/>
            <w:vAlign w:val="center"/>
          </w:tcPr>
          <w:p w14:paraId="20643C1F"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 xml:space="preserve">1.42 </w:t>
            </w:r>
          </w:p>
          <w:p w14:paraId="20643C20"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(0.838 – 2.16)</w:t>
            </w:r>
          </w:p>
        </w:tc>
        <w:tc>
          <w:tcPr>
            <w:tcW w:w="1701" w:type="dxa"/>
            <w:shd w:val="clear" w:color="auto" w:fill="EAF1DD" w:themeFill="accent3" w:themeFillTint="33"/>
            <w:vAlign w:val="center"/>
          </w:tcPr>
          <w:p w14:paraId="20643C21"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1.34</w:t>
            </w:r>
          </w:p>
          <w:p w14:paraId="20643C22"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(0.555 – 1.98)</w:t>
            </w:r>
          </w:p>
        </w:tc>
        <w:tc>
          <w:tcPr>
            <w:tcW w:w="1276" w:type="dxa"/>
            <w:shd w:val="clear" w:color="auto" w:fill="EAF1DD" w:themeFill="accent3" w:themeFillTint="33"/>
            <w:vAlign w:val="center"/>
          </w:tcPr>
          <w:p w14:paraId="20643C23"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0.7113</w:t>
            </w:r>
          </w:p>
        </w:tc>
        <w:tc>
          <w:tcPr>
            <w:tcW w:w="1701" w:type="dxa"/>
            <w:shd w:val="clear" w:color="auto" w:fill="EAF1DD" w:themeFill="accent3" w:themeFillTint="33"/>
            <w:noWrap/>
            <w:vAlign w:val="center"/>
          </w:tcPr>
          <w:p w14:paraId="20643C24"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1.7 – 3.47</w:t>
            </w:r>
          </w:p>
        </w:tc>
      </w:tr>
      <w:tr w:rsidR="00333AC0" w:rsidRPr="00E308F0" w14:paraId="20643C2D" w14:textId="77777777" w:rsidTr="00011A05">
        <w:trPr>
          <w:trHeight w:val="510"/>
        </w:trPr>
        <w:tc>
          <w:tcPr>
            <w:tcW w:w="1951" w:type="dxa"/>
            <w:shd w:val="clear" w:color="auto" w:fill="auto"/>
            <w:noWrap/>
            <w:vAlign w:val="center"/>
          </w:tcPr>
          <w:p w14:paraId="20643C26"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Ash (%)</w:t>
            </w:r>
          </w:p>
        </w:tc>
        <w:tc>
          <w:tcPr>
            <w:tcW w:w="1701" w:type="dxa"/>
            <w:shd w:val="clear" w:color="auto" w:fill="auto"/>
            <w:vAlign w:val="center"/>
          </w:tcPr>
          <w:p w14:paraId="20643C27"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5.89</w:t>
            </w:r>
          </w:p>
          <w:p w14:paraId="20643C28"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(4.95 – 7.17)</w:t>
            </w:r>
          </w:p>
        </w:tc>
        <w:tc>
          <w:tcPr>
            <w:tcW w:w="1701" w:type="dxa"/>
            <w:shd w:val="clear" w:color="auto" w:fill="auto"/>
            <w:vAlign w:val="center"/>
          </w:tcPr>
          <w:p w14:paraId="20643C29"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6.02</w:t>
            </w:r>
          </w:p>
          <w:p w14:paraId="20643C2A"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(5 – 7.06)</w:t>
            </w:r>
          </w:p>
        </w:tc>
        <w:tc>
          <w:tcPr>
            <w:tcW w:w="1276" w:type="dxa"/>
            <w:shd w:val="clear" w:color="auto" w:fill="auto"/>
            <w:vAlign w:val="center"/>
          </w:tcPr>
          <w:p w14:paraId="20643C2B"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0.3739</w:t>
            </w:r>
          </w:p>
        </w:tc>
        <w:tc>
          <w:tcPr>
            <w:tcW w:w="1701" w:type="dxa"/>
            <w:shd w:val="clear" w:color="auto" w:fill="auto"/>
            <w:noWrap/>
            <w:vAlign w:val="center"/>
          </w:tcPr>
          <w:p w14:paraId="20643C2C"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3.61 – 8.6</w:t>
            </w:r>
          </w:p>
        </w:tc>
      </w:tr>
      <w:tr w:rsidR="00333AC0" w:rsidRPr="00E308F0" w14:paraId="20643C35" w14:textId="77777777" w:rsidTr="00011A05">
        <w:trPr>
          <w:trHeight w:val="510"/>
        </w:trPr>
        <w:tc>
          <w:tcPr>
            <w:tcW w:w="1951" w:type="dxa"/>
            <w:shd w:val="clear" w:color="auto" w:fill="EAF1DD" w:themeFill="accent3" w:themeFillTint="33"/>
            <w:noWrap/>
            <w:vAlign w:val="center"/>
          </w:tcPr>
          <w:p w14:paraId="20643C2E"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Carbohydrate (%)</w:t>
            </w:r>
            <w:r w:rsidRPr="00237304">
              <w:rPr>
                <w:rFonts w:cs="Arial"/>
                <w:color w:val="000000" w:themeColor="text1"/>
                <w:sz w:val="18"/>
                <w:szCs w:val="18"/>
                <w:vertAlign w:val="superscript"/>
              </w:rPr>
              <w:t>2</w:t>
            </w:r>
          </w:p>
        </w:tc>
        <w:tc>
          <w:tcPr>
            <w:tcW w:w="1701" w:type="dxa"/>
            <w:shd w:val="clear" w:color="auto" w:fill="EAF1DD" w:themeFill="accent3" w:themeFillTint="33"/>
            <w:vAlign w:val="center"/>
          </w:tcPr>
          <w:p w14:paraId="20643C2F"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84.58</w:t>
            </w:r>
          </w:p>
          <w:p w14:paraId="20643C30"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(81 – 86.9)</w:t>
            </w:r>
          </w:p>
        </w:tc>
        <w:tc>
          <w:tcPr>
            <w:tcW w:w="1701" w:type="dxa"/>
            <w:shd w:val="clear" w:color="auto" w:fill="EAF1DD" w:themeFill="accent3" w:themeFillTint="33"/>
            <w:vAlign w:val="center"/>
          </w:tcPr>
          <w:p w14:paraId="20643C31"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84.38</w:t>
            </w:r>
          </w:p>
          <w:p w14:paraId="20643C32"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(81.1 – 86.4)</w:t>
            </w:r>
          </w:p>
        </w:tc>
        <w:tc>
          <w:tcPr>
            <w:tcW w:w="1276" w:type="dxa"/>
            <w:shd w:val="clear" w:color="auto" w:fill="EAF1DD" w:themeFill="accent3" w:themeFillTint="33"/>
            <w:vAlign w:val="center"/>
          </w:tcPr>
          <w:p w14:paraId="20643C33"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0.5595</w:t>
            </w:r>
          </w:p>
        </w:tc>
        <w:tc>
          <w:tcPr>
            <w:tcW w:w="1701" w:type="dxa"/>
            <w:shd w:val="clear" w:color="auto" w:fill="EAF1DD" w:themeFill="accent3" w:themeFillTint="33"/>
            <w:noWrap/>
            <w:vAlign w:val="center"/>
          </w:tcPr>
          <w:p w14:paraId="20643C34"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79.98 -85.53</w:t>
            </w:r>
          </w:p>
        </w:tc>
      </w:tr>
      <w:tr w:rsidR="00333AC0" w:rsidRPr="00E308F0" w14:paraId="20643C3D" w14:textId="77777777" w:rsidTr="00011A05">
        <w:trPr>
          <w:trHeight w:val="510"/>
        </w:trPr>
        <w:tc>
          <w:tcPr>
            <w:tcW w:w="1951" w:type="dxa"/>
            <w:shd w:val="clear" w:color="auto" w:fill="auto"/>
            <w:noWrap/>
            <w:vAlign w:val="center"/>
          </w:tcPr>
          <w:p w14:paraId="20643C36"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Amylose</w:t>
            </w:r>
            <w:r>
              <w:rPr>
                <w:rFonts w:cs="Arial"/>
                <w:color w:val="000000" w:themeColor="text1"/>
                <w:sz w:val="18"/>
                <w:szCs w:val="18"/>
              </w:rPr>
              <w:t xml:space="preserve"> (%)</w:t>
            </w:r>
          </w:p>
        </w:tc>
        <w:tc>
          <w:tcPr>
            <w:tcW w:w="1701" w:type="dxa"/>
            <w:shd w:val="clear" w:color="auto" w:fill="auto"/>
            <w:vAlign w:val="center"/>
          </w:tcPr>
          <w:p w14:paraId="20643C37"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12.87</w:t>
            </w:r>
          </w:p>
          <w:p w14:paraId="20643C38"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(7.31 – 18.6)</w:t>
            </w:r>
          </w:p>
        </w:tc>
        <w:tc>
          <w:tcPr>
            <w:tcW w:w="1701" w:type="dxa"/>
            <w:shd w:val="clear" w:color="auto" w:fill="auto"/>
            <w:vAlign w:val="center"/>
          </w:tcPr>
          <w:p w14:paraId="20643C39" w14:textId="77777777" w:rsidR="00333AC0" w:rsidRDefault="00333AC0" w:rsidP="00011A05">
            <w:pPr>
              <w:jc w:val="center"/>
              <w:rPr>
                <w:rFonts w:cs="Arial"/>
                <w:color w:val="000000" w:themeColor="text1"/>
                <w:sz w:val="18"/>
                <w:szCs w:val="18"/>
              </w:rPr>
            </w:pPr>
            <w:r w:rsidRPr="00237304">
              <w:rPr>
                <w:rFonts w:cs="Arial"/>
                <w:color w:val="000000" w:themeColor="text1"/>
                <w:sz w:val="18"/>
                <w:szCs w:val="18"/>
              </w:rPr>
              <w:t xml:space="preserve">12.81 </w:t>
            </w:r>
          </w:p>
          <w:p w14:paraId="20643C3A"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(6.76 – 18.6)</w:t>
            </w:r>
          </w:p>
        </w:tc>
        <w:tc>
          <w:tcPr>
            <w:tcW w:w="1276" w:type="dxa"/>
            <w:shd w:val="clear" w:color="auto" w:fill="auto"/>
            <w:vAlign w:val="center"/>
          </w:tcPr>
          <w:p w14:paraId="20643C3B"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0.9548</w:t>
            </w:r>
          </w:p>
        </w:tc>
        <w:tc>
          <w:tcPr>
            <w:tcW w:w="1701" w:type="dxa"/>
            <w:shd w:val="clear" w:color="auto" w:fill="auto"/>
            <w:noWrap/>
            <w:vAlign w:val="center"/>
          </w:tcPr>
          <w:p w14:paraId="20643C3C"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N/A</w:t>
            </w:r>
          </w:p>
        </w:tc>
      </w:tr>
      <w:tr w:rsidR="00333AC0" w:rsidRPr="00E308F0" w14:paraId="20643C45" w14:textId="77777777" w:rsidTr="00011A05">
        <w:trPr>
          <w:trHeight w:val="510"/>
        </w:trPr>
        <w:tc>
          <w:tcPr>
            <w:tcW w:w="1951" w:type="dxa"/>
            <w:shd w:val="clear" w:color="auto" w:fill="EAF1DD" w:themeFill="accent3" w:themeFillTint="33"/>
            <w:noWrap/>
            <w:vAlign w:val="center"/>
          </w:tcPr>
          <w:p w14:paraId="20643C3E"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Starch</w:t>
            </w:r>
            <w:r>
              <w:rPr>
                <w:rFonts w:cs="Arial"/>
                <w:color w:val="000000" w:themeColor="text1"/>
                <w:sz w:val="18"/>
                <w:szCs w:val="18"/>
              </w:rPr>
              <w:t xml:space="preserve"> (%)</w:t>
            </w:r>
          </w:p>
        </w:tc>
        <w:tc>
          <w:tcPr>
            <w:tcW w:w="1701" w:type="dxa"/>
            <w:shd w:val="clear" w:color="auto" w:fill="EAF1DD" w:themeFill="accent3" w:themeFillTint="33"/>
            <w:vAlign w:val="center"/>
          </w:tcPr>
          <w:p w14:paraId="20643C3F"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59.52</w:t>
            </w:r>
          </w:p>
          <w:p w14:paraId="20643C40"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(32.8 – 71.5)</w:t>
            </w:r>
          </w:p>
        </w:tc>
        <w:tc>
          <w:tcPr>
            <w:tcW w:w="1701" w:type="dxa"/>
            <w:shd w:val="clear" w:color="auto" w:fill="EAF1DD" w:themeFill="accent3" w:themeFillTint="33"/>
            <w:vAlign w:val="center"/>
          </w:tcPr>
          <w:p w14:paraId="20643C41"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61.05</w:t>
            </w:r>
          </w:p>
          <w:p w14:paraId="20643C42"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(28.1 – 73.9)</w:t>
            </w:r>
          </w:p>
        </w:tc>
        <w:tc>
          <w:tcPr>
            <w:tcW w:w="1276" w:type="dxa"/>
            <w:shd w:val="clear" w:color="auto" w:fill="EAF1DD" w:themeFill="accent3" w:themeFillTint="33"/>
            <w:vAlign w:val="center"/>
          </w:tcPr>
          <w:p w14:paraId="20643C43"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0.6888</w:t>
            </w:r>
          </w:p>
        </w:tc>
        <w:tc>
          <w:tcPr>
            <w:tcW w:w="1701" w:type="dxa"/>
            <w:shd w:val="clear" w:color="auto" w:fill="EAF1DD" w:themeFill="accent3" w:themeFillTint="33"/>
            <w:noWrap/>
            <w:vAlign w:val="center"/>
          </w:tcPr>
          <w:p w14:paraId="20643C44"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61.9 – 67.2</w:t>
            </w:r>
          </w:p>
        </w:tc>
      </w:tr>
      <w:tr w:rsidR="00333AC0" w:rsidRPr="00E308F0" w14:paraId="20643C4D" w14:textId="77777777" w:rsidTr="00011A05">
        <w:trPr>
          <w:trHeight w:val="510"/>
        </w:trPr>
        <w:tc>
          <w:tcPr>
            <w:tcW w:w="1951" w:type="dxa"/>
            <w:shd w:val="clear" w:color="auto" w:fill="auto"/>
            <w:noWrap/>
            <w:vAlign w:val="center"/>
          </w:tcPr>
          <w:p w14:paraId="20643C46"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Crude Fibre (%)</w:t>
            </w:r>
          </w:p>
        </w:tc>
        <w:tc>
          <w:tcPr>
            <w:tcW w:w="1701" w:type="dxa"/>
            <w:shd w:val="clear" w:color="auto" w:fill="auto"/>
            <w:vAlign w:val="center"/>
          </w:tcPr>
          <w:p w14:paraId="20643C47"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11.96</w:t>
            </w:r>
          </w:p>
          <w:p w14:paraId="20643C48"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(10.1 – 14.6)</w:t>
            </w:r>
          </w:p>
        </w:tc>
        <w:tc>
          <w:tcPr>
            <w:tcW w:w="1701" w:type="dxa"/>
            <w:shd w:val="clear" w:color="auto" w:fill="auto"/>
            <w:vAlign w:val="center"/>
          </w:tcPr>
          <w:p w14:paraId="20643C49"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11.1</w:t>
            </w:r>
          </w:p>
          <w:p w14:paraId="20643C4A"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(10.1 – 12.3)</w:t>
            </w:r>
          </w:p>
        </w:tc>
        <w:tc>
          <w:tcPr>
            <w:tcW w:w="1276" w:type="dxa"/>
            <w:shd w:val="clear" w:color="auto" w:fill="auto"/>
            <w:vAlign w:val="center"/>
          </w:tcPr>
          <w:p w14:paraId="20643C4B"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0.2133</w:t>
            </w:r>
          </w:p>
        </w:tc>
        <w:tc>
          <w:tcPr>
            <w:tcW w:w="1701" w:type="dxa"/>
            <w:shd w:val="clear" w:color="auto" w:fill="auto"/>
            <w:noWrap/>
            <w:vAlign w:val="center"/>
          </w:tcPr>
          <w:p w14:paraId="20643C4C" w14:textId="77777777" w:rsidR="00333AC0" w:rsidRPr="00237304" w:rsidRDefault="00333AC0" w:rsidP="00011A05">
            <w:pPr>
              <w:jc w:val="center"/>
              <w:rPr>
                <w:rFonts w:cs="Arial"/>
                <w:color w:val="000000" w:themeColor="text1"/>
                <w:sz w:val="18"/>
                <w:szCs w:val="18"/>
              </w:rPr>
            </w:pPr>
            <w:r w:rsidRPr="00237304">
              <w:rPr>
                <w:rFonts w:cs="Arial"/>
                <w:color w:val="000000" w:themeColor="text1"/>
                <w:sz w:val="18"/>
                <w:szCs w:val="18"/>
              </w:rPr>
              <w:t>8.6 – 18.13</w:t>
            </w:r>
          </w:p>
        </w:tc>
      </w:tr>
      <w:tr w:rsidR="00333AC0" w:rsidRPr="00E308F0" w14:paraId="20643C55" w14:textId="77777777" w:rsidTr="00011A05">
        <w:trPr>
          <w:trHeight w:val="510"/>
        </w:trPr>
        <w:tc>
          <w:tcPr>
            <w:tcW w:w="1951" w:type="dxa"/>
            <w:shd w:val="clear" w:color="auto" w:fill="EAF1DD" w:themeFill="accent3" w:themeFillTint="33"/>
            <w:noWrap/>
            <w:vAlign w:val="center"/>
          </w:tcPr>
          <w:p w14:paraId="20643C4E" w14:textId="77777777" w:rsidR="00333AC0" w:rsidRPr="007A764A" w:rsidRDefault="00333AC0" w:rsidP="00011A05">
            <w:pPr>
              <w:jc w:val="center"/>
              <w:rPr>
                <w:rFonts w:cs="Arial"/>
                <w:color w:val="000000" w:themeColor="text1"/>
                <w:sz w:val="18"/>
                <w:szCs w:val="18"/>
              </w:rPr>
            </w:pPr>
            <w:r>
              <w:rPr>
                <w:rFonts w:cs="Arial"/>
                <w:color w:val="000000" w:themeColor="text1"/>
                <w:sz w:val="18"/>
                <w:szCs w:val="18"/>
              </w:rPr>
              <w:t>Acid detergent fibre</w:t>
            </w:r>
            <w:r w:rsidRPr="007A764A">
              <w:rPr>
                <w:rFonts w:cs="Arial"/>
                <w:color w:val="000000" w:themeColor="text1"/>
                <w:sz w:val="18"/>
                <w:szCs w:val="18"/>
              </w:rPr>
              <w:t xml:space="preserve"> (%)</w:t>
            </w:r>
          </w:p>
        </w:tc>
        <w:tc>
          <w:tcPr>
            <w:tcW w:w="1701" w:type="dxa"/>
            <w:shd w:val="clear" w:color="auto" w:fill="EAF1DD" w:themeFill="accent3" w:themeFillTint="33"/>
            <w:vAlign w:val="center"/>
          </w:tcPr>
          <w:p w14:paraId="20643C4F"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18.53</w:t>
            </w:r>
          </w:p>
          <w:p w14:paraId="20643C50"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(15.7 – 21.7)</w:t>
            </w:r>
          </w:p>
        </w:tc>
        <w:tc>
          <w:tcPr>
            <w:tcW w:w="1701" w:type="dxa"/>
            <w:shd w:val="clear" w:color="auto" w:fill="EAF1DD" w:themeFill="accent3" w:themeFillTint="33"/>
            <w:vAlign w:val="center"/>
          </w:tcPr>
          <w:p w14:paraId="20643C51"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17.65</w:t>
            </w:r>
          </w:p>
          <w:p w14:paraId="20643C52"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(15.6 – 18.8)</w:t>
            </w:r>
          </w:p>
        </w:tc>
        <w:tc>
          <w:tcPr>
            <w:tcW w:w="1276" w:type="dxa"/>
            <w:shd w:val="clear" w:color="auto" w:fill="EAF1DD" w:themeFill="accent3" w:themeFillTint="33"/>
            <w:vAlign w:val="center"/>
          </w:tcPr>
          <w:p w14:paraId="20643C53" w14:textId="77777777" w:rsidR="00333AC0" w:rsidRPr="007A764A" w:rsidRDefault="00333AC0" w:rsidP="00011A05">
            <w:pPr>
              <w:jc w:val="center"/>
              <w:rPr>
                <w:rFonts w:cs="Arial"/>
                <w:color w:val="000000" w:themeColor="text1"/>
                <w:sz w:val="18"/>
                <w:szCs w:val="18"/>
              </w:rPr>
            </w:pPr>
            <w:r>
              <w:rPr>
                <w:rFonts w:cs="Arial"/>
                <w:color w:val="000000" w:themeColor="text1"/>
                <w:sz w:val="18"/>
                <w:szCs w:val="18"/>
              </w:rPr>
              <w:t>0.3522</w:t>
            </w:r>
          </w:p>
        </w:tc>
        <w:tc>
          <w:tcPr>
            <w:tcW w:w="1701" w:type="dxa"/>
            <w:shd w:val="clear" w:color="auto" w:fill="EAF1DD" w:themeFill="accent3" w:themeFillTint="33"/>
            <w:noWrap/>
            <w:vAlign w:val="center"/>
          </w:tcPr>
          <w:p w14:paraId="20643C54" w14:textId="77777777" w:rsidR="00333AC0" w:rsidRPr="007A764A" w:rsidRDefault="00333AC0" w:rsidP="00011A05">
            <w:pPr>
              <w:jc w:val="center"/>
              <w:rPr>
                <w:rFonts w:cs="Arial"/>
                <w:color w:val="000000" w:themeColor="text1"/>
                <w:sz w:val="18"/>
                <w:szCs w:val="18"/>
              </w:rPr>
            </w:pPr>
            <w:r>
              <w:rPr>
                <w:rFonts w:cs="Arial"/>
                <w:color w:val="000000" w:themeColor="text1"/>
                <w:sz w:val="18"/>
                <w:szCs w:val="18"/>
              </w:rPr>
              <w:t>10.8 – 18.2</w:t>
            </w:r>
          </w:p>
        </w:tc>
      </w:tr>
      <w:tr w:rsidR="00333AC0" w:rsidRPr="00E308F0" w14:paraId="20643C5D" w14:textId="77777777" w:rsidTr="00011A05">
        <w:trPr>
          <w:trHeight w:val="510"/>
        </w:trPr>
        <w:tc>
          <w:tcPr>
            <w:tcW w:w="1951" w:type="dxa"/>
            <w:tcBorders>
              <w:bottom w:val="single" w:sz="4" w:space="0" w:color="auto"/>
            </w:tcBorders>
            <w:shd w:val="clear" w:color="auto" w:fill="auto"/>
            <w:noWrap/>
            <w:vAlign w:val="center"/>
          </w:tcPr>
          <w:p w14:paraId="20643C56" w14:textId="77777777" w:rsidR="00333AC0" w:rsidRPr="007A764A" w:rsidRDefault="00333AC0" w:rsidP="00011A05">
            <w:pPr>
              <w:jc w:val="center"/>
              <w:rPr>
                <w:rFonts w:cs="Arial"/>
                <w:color w:val="000000" w:themeColor="text1"/>
                <w:sz w:val="18"/>
                <w:szCs w:val="18"/>
              </w:rPr>
            </w:pPr>
            <w:r>
              <w:rPr>
                <w:rFonts w:cs="Arial"/>
                <w:color w:val="000000" w:themeColor="text1"/>
                <w:sz w:val="18"/>
                <w:szCs w:val="18"/>
              </w:rPr>
              <w:t>Neutral detergent fibre</w:t>
            </w:r>
            <w:r w:rsidRPr="007A764A">
              <w:rPr>
                <w:rFonts w:cs="Arial"/>
                <w:color w:val="000000" w:themeColor="text1"/>
                <w:sz w:val="18"/>
                <w:szCs w:val="18"/>
              </w:rPr>
              <w:t xml:space="preserve"> (%)</w:t>
            </w:r>
          </w:p>
        </w:tc>
        <w:tc>
          <w:tcPr>
            <w:tcW w:w="1701" w:type="dxa"/>
            <w:tcBorders>
              <w:bottom w:val="single" w:sz="4" w:space="0" w:color="auto"/>
            </w:tcBorders>
            <w:shd w:val="clear" w:color="auto" w:fill="auto"/>
            <w:vAlign w:val="center"/>
          </w:tcPr>
          <w:p w14:paraId="20643C57"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22.1</w:t>
            </w:r>
          </w:p>
          <w:p w14:paraId="20643C58"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(17.5 – 35.5)</w:t>
            </w:r>
          </w:p>
        </w:tc>
        <w:tc>
          <w:tcPr>
            <w:tcW w:w="1701" w:type="dxa"/>
            <w:tcBorders>
              <w:bottom w:val="single" w:sz="4" w:space="0" w:color="auto"/>
            </w:tcBorders>
            <w:shd w:val="clear" w:color="auto" w:fill="auto"/>
            <w:vAlign w:val="center"/>
          </w:tcPr>
          <w:p w14:paraId="20643C59"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20.6</w:t>
            </w:r>
          </w:p>
          <w:p w14:paraId="20643C5A"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(16.2 – 32.8)</w:t>
            </w:r>
          </w:p>
        </w:tc>
        <w:tc>
          <w:tcPr>
            <w:tcW w:w="1276" w:type="dxa"/>
            <w:tcBorders>
              <w:bottom w:val="single" w:sz="4" w:space="0" w:color="auto"/>
            </w:tcBorders>
            <w:shd w:val="clear" w:color="auto" w:fill="auto"/>
            <w:vAlign w:val="center"/>
          </w:tcPr>
          <w:p w14:paraId="20643C5B"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0.4774</w:t>
            </w:r>
          </w:p>
        </w:tc>
        <w:tc>
          <w:tcPr>
            <w:tcW w:w="1701" w:type="dxa"/>
            <w:tcBorders>
              <w:bottom w:val="single" w:sz="4" w:space="0" w:color="auto"/>
            </w:tcBorders>
            <w:shd w:val="clear" w:color="auto" w:fill="auto"/>
            <w:noWrap/>
            <w:vAlign w:val="center"/>
          </w:tcPr>
          <w:p w14:paraId="20643C5C"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15.0 -32.2</w:t>
            </w:r>
          </w:p>
        </w:tc>
      </w:tr>
      <w:tr w:rsidR="00333AC0" w:rsidRPr="00E308F0" w14:paraId="20643C65" w14:textId="77777777" w:rsidTr="00011A05">
        <w:trPr>
          <w:trHeight w:val="510"/>
        </w:trPr>
        <w:tc>
          <w:tcPr>
            <w:tcW w:w="1951" w:type="dxa"/>
            <w:tcBorders>
              <w:bottom w:val="single" w:sz="4" w:space="0" w:color="auto"/>
            </w:tcBorders>
            <w:shd w:val="clear" w:color="auto" w:fill="EAF1DD" w:themeFill="accent3" w:themeFillTint="33"/>
            <w:noWrap/>
            <w:vAlign w:val="center"/>
          </w:tcPr>
          <w:p w14:paraId="20643C5E" w14:textId="77777777" w:rsidR="00333AC0" w:rsidRPr="007A764A" w:rsidRDefault="00333AC0" w:rsidP="00011A05">
            <w:pPr>
              <w:jc w:val="center"/>
              <w:rPr>
                <w:rFonts w:cs="Arial"/>
                <w:color w:val="000000" w:themeColor="text1"/>
                <w:sz w:val="18"/>
                <w:szCs w:val="18"/>
              </w:rPr>
            </w:pPr>
            <w:r>
              <w:rPr>
                <w:rFonts w:cs="Arial"/>
                <w:color w:val="000000" w:themeColor="text1"/>
                <w:sz w:val="18"/>
                <w:szCs w:val="18"/>
              </w:rPr>
              <w:t>Total dietary fibre</w:t>
            </w:r>
            <w:r w:rsidRPr="007A764A">
              <w:rPr>
                <w:rFonts w:cs="Arial"/>
                <w:color w:val="000000" w:themeColor="text1"/>
                <w:sz w:val="18"/>
                <w:szCs w:val="18"/>
              </w:rPr>
              <w:t xml:space="preserve"> (%)</w:t>
            </w:r>
          </w:p>
        </w:tc>
        <w:tc>
          <w:tcPr>
            <w:tcW w:w="1701" w:type="dxa"/>
            <w:tcBorders>
              <w:bottom w:val="single" w:sz="4" w:space="0" w:color="auto"/>
            </w:tcBorders>
            <w:shd w:val="clear" w:color="auto" w:fill="EAF1DD" w:themeFill="accent3" w:themeFillTint="33"/>
            <w:vAlign w:val="center"/>
          </w:tcPr>
          <w:p w14:paraId="20643C5F"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16.96</w:t>
            </w:r>
          </w:p>
          <w:p w14:paraId="20643C60"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(12.8 – 20.3)</w:t>
            </w:r>
          </w:p>
        </w:tc>
        <w:tc>
          <w:tcPr>
            <w:tcW w:w="1701" w:type="dxa"/>
            <w:tcBorders>
              <w:bottom w:val="single" w:sz="4" w:space="0" w:color="auto"/>
            </w:tcBorders>
            <w:shd w:val="clear" w:color="auto" w:fill="EAF1DD" w:themeFill="accent3" w:themeFillTint="33"/>
            <w:vAlign w:val="center"/>
          </w:tcPr>
          <w:p w14:paraId="20643C61"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16.9</w:t>
            </w:r>
          </w:p>
          <w:p w14:paraId="20643C62"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(11.4 – 21.4)</w:t>
            </w:r>
          </w:p>
        </w:tc>
        <w:tc>
          <w:tcPr>
            <w:tcW w:w="1276" w:type="dxa"/>
            <w:tcBorders>
              <w:bottom w:val="single" w:sz="4" w:space="0" w:color="auto"/>
            </w:tcBorders>
            <w:shd w:val="clear" w:color="auto" w:fill="EAF1DD" w:themeFill="accent3" w:themeFillTint="33"/>
            <w:vAlign w:val="center"/>
          </w:tcPr>
          <w:p w14:paraId="20643C63"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0.9549</w:t>
            </w:r>
          </w:p>
        </w:tc>
        <w:tc>
          <w:tcPr>
            <w:tcW w:w="1701" w:type="dxa"/>
            <w:tcBorders>
              <w:bottom w:val="single" w:sz="4" w:space="0" w:color="auto"/>
            </w:tcBorders>
            <w:shd w:val="clear" w:color="auto" w:fill="EAF1DD" w:themeFill="accent3" w:themeFillTint="33"/>
            <w:noWrap/>
            <w:vAlign w:val="center"/>
          </w:tcPr>
          <w:p w14:paraId="20643C64"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16.73 – 22.97</w:t>
            </w:r>
          </w:p>
        </w:tc>
      </w:tr>
      <w:tr w:rsidR="00333AC0" w:rsidRPr="007A764A" w14:paraId="20643C6D" w14:textId="77777777" w:rsidTr="00011A05">
        <w:trPr>
          <w:trHeight w:val="510"/>
        </w:trPr>
        <w:tc>
          <w:tcPr>
            <w:tcW w:w="1951" w:type="dxa"/>
            <w:tcBorders>
              <w:bottom w:val="single" w:sz="4" w:space="0" w:color="auto"/>
            </w:tcBorders>
            <w:shd w:val="clear" w:color="auto" w:fill="auto"/>
            <w:noWrap/>
            <w:vAlign w:val="center"/>
          </w:tcPr>
          <w:p w14:paraId="20643C66"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Moisture (% fw)</w:t>
            </w:r>
          </w:p>
        </w:tc>
        <w:tc>
          <w:tcPr>
            <w:tcW w:w="1701" w:type="dxa"/>
            <w:tcBorders>
              <w:bottom w:val="single" w:sz="4" w:space="0" w:color="auto"/>
            </w:tcBorders>
            <w:vAlign w:val="center"/>
          </w:tcPr>
          <w:p w14:paraId="20643C67"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12.26</w:t>
            </w:r>
          </w:p>
          <w:p w14:paraId="20643C68"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(11.1 – 13.8)</w:t>
            </w:r>
          </w:p>
        </w:tc>
        <w:tc>
          <w:tcPr>
            <w:tcW w:w="1701" w:type="dxa"/>
            <w:tcBorders>
              <w:bottom w:val="single" w:sz="4" w:space="0" w:color="auto"/>
            </w:tcBorders>
            <w:shd w:val="clear" w:color="auto" w:fill="auto"/>
            <w:vAlign w:val="center"/>
          </w:tcPr>
          <w:p w14:paraId="20643C69"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12.32</w:t>
            </w:r>
          </w:p>
          <w:p w14:paraId="20643C6A" w14:textId="77777777" w:rsidR="00333AC0" w:rsidRPr="007A764A" w:rsidRDefault="00333AC0" w:rsidP="00011A05">
            <w:pPr>
              <w:jc w:val="center"/>
              <w:rPr>
                <w:rFonts w:cs="Arial"/>
                <w:color w:val="000000" w:themeColor="text1"/>
                <w:sz w:val="18"/>
                <w:szCs w:val="18"/>
                <w:vertAlign w:val="superscript"/>
              </w:rPr>
            </w:pPr>
            <w:r w:rsidRPr="007A764A">
              <w:rPr>
                <w:rFonts w:cs="Arial"/>
                <w:color w:val="000000" w:themeColor="text1"/>
                <w:sz w:val="18"/>
                <w:szCs w:val="18"/>
              </w:rPr>
              <w:t>(10.9 – 13.6)</w:t>
            </w:r>
          </w:p>
        </w:tc>
        <w:tc>
          <w:tcPr>
            <w:tcW w:w="1276" w:type="dxa"/>
            <w:tcBorders>
              <w:bottom w:val="single" w:sz="4" w:space="0" w:color="auto"/>
            </w:tcBorders>
            <w:shd w:val="clear" w:color="auto" w:fill="auto"/>
            <w:vAlign w:val="center"/>
          </w:tcPr>
          <w:p w14:paraId="20643C6B" w14:textId="77777777" w:rsidR="00333AC0" w:rsidRPr="007A764A" w:rsidRDefault="00333AC0" w:rsidP="00011A05">
            <w:pPr>
              <w:jc w:val="center"/>
              <w:rPr>
                <w:rFonts w:cs="Arial"/>
                <w:color w:val="000000" w:themeColor="text1"/>
                <w:sz w:val="18"/>
                <w:szCs w:val="18"/>
                <w:vertAlign w:val="superscript"/>
              </w:rPr>
            </w:pPr>
            <w:r w:rsidRPr="007A764A">
              <w:rPr>
                <w:rFonts w:cs="Arial"/>
                <w:color w:val="000000" w:themeColor="text1"/>
                <w:sz w:val="18"/>
                <w:szCs w:val="18"/>
              </w:rPr>
              <w:t>0.8023</w:t>
            </w:r>
          </w:p>
        </w:tc>
        <w:tc>
          <w:tcPr>
            <w:tcW w:w="1701" w:type="dxa"/>
            <w:tcBorders>
              <w:bottom w:val="single" w:sz="4" w:space="0" w:color="auto"/>
            </w:tcBorders>
            <w:shd w:val="clear" w:color="auto" w:fill="auto"/>
            <w:noWrap/>
            <w:vAlign w:val="center"/>
          </w:tcPr>
          <w:p w14:paraId="20643C6C" w14:textId="77777777" w:rsidR="00333AC0" w:rsidRPr="007A764A" w:rsidRDefault="00333AC0" w:rsidP="00011A05">
            <w:pPr>
              <w:jc w:val="center"/>
              <w:rPr>
                <w:rFonts w:cs="Arial"/>
                <w:color w:val="000000" w:themeColor="text1"/>
                <w:sz w:val="18"/>
                <w:szCs w:val="18"/>
              </w:rPr>
            </w:pPr>
            <w:r w:rsidRPr="007A764A">
              <w:rPr>
                <w:rFonts w:cs="Arial"/>
                <w:color w:val="000000" w:themeColor="text1"/>
                <w:sz w:val="18"/>
                <w:szCs w:val="18"/>
              </w:rPr>
              <w:t>7.6 – 28.35</w:t>
            </w:r>
          </w:p>
        </w:tc>
      </w:tr>
    </w:tbl>
    <w:p w14:paraId="20643C6E" w14:textId="77777777" w:rsidR="00333AC0" w:rsidRPr="007A764A" w:rsidRDefault="00333AC0" w:rsidP="00011A05">
      <w:pPr>
        <w:autoSpaceDE w:val="0"/>
        <w:autoSpaceDN w:val="0"/>
        <w:adjustRightInd w:val="0"/>
        <w:rPr>
          <w:color w:val="000000" w:themeColor="text1"/>
          <w:sz w:val="18"/>
          <w:szCs w:val="18"/>
        </w:rPr>
      </w:pPr>
      <w:r w:rsidRPr="007A764A">
        <w:rPr>
          <w:color w:val="000000" w:themeColor="text1"/>
          <w:sz w:val="18"/>
          <w:szCs w:val="18"/>
          <w:vertAlign w:val="superscript"/>
        </w:rPr>
        <w:t>1</w:t>
      </w:r>
      <w:r w:rsidRPr="007A764A">
        <w:rPr>
          <w:color w:val="000000" w:themeColor="text1"/>
          <w:sz w:val="18"/>
          <w:szCs w:val="18"/>
        </w:rPr>
        <w:t xml:space="preserve"> Analyte means determined on a dry </w:t>
      </w:r>
      <w:r w:rsidRPr="003C3A66">
        <w:rPr>
          <w:color w:val="000000" w:themeColor="text1"/>
          <w:sz w:val="18"/>
          <w:szCs w:val="18"/>
        </w:rPr>
        <w:t>weight  (dw) basis</w:t>
      </w:r>
      <w:r w:rsidRPr="007A764A">
        <w:rPr>
          <w:color w:val="000000" w:themeColor="text1"/>
          <w:sz w:val="18"/>
          <w:szCs w:val="18"/>
        </w:rPr>
        <w:t xml:space="preserve"> (except for moisture)</w:t>
      </w:r>
    </w:p>
    <w:p w14:paraId="20643C6F" w14:textId="77777777" w:rsidR="00333AC0" w:rsidRPr="007A764A" w:rsidRDefault="00333AC0" w:rsidP="00011A05">
      <w:pPr>
        <w:autoSpaceDE w:val="0"/>
        <w:autoSpaceDN w:val="0"/>
        <w:adjustRightInd w:val="0"/>
        <w:rPr>
          <w:color w:val="000000" w:themeColor="text1"/>
          <w:sz w:val="18"/>
          <w:szCs w:val="18"/>
        </w:rPr>
      </w:pPr>
      <w:r w:rsidRPr="007A764A">
        <w:rPr>
          <w:color w:val="000000" w:themeColor="text1"/>
          <w:sz w:val="18"/>
          <w:szCs w:val="18"/>
          <w:vertAlign w:val="superscript"/>
        </w:rPr>
        <w:t xml:space="preserve">2 </w:t>
      </w:r>
      <w:r w:rsidRPr="007A764A">
        <w:rPr>
          <w:color w:val="000000" w:themeColor="text1"/>
          <w:sz w:val="18"/>
          <w:szCs w:val="18"/>
        </w:rPr>
        <w:t>Carbohydrate determined by calculation</w:t>
      </w:r>
    </w:p>
    <w:p w14:paraId="20643C70" w14:textId="77777777" w:rsidR="00333AC0" w:rsidRPr="007A764A" w:rsidRDefault="00333AC0" w:rsidP="00011A05">
      <w:pPr>
        <w:autoSpaceDE w:val="0"/>
        <w:autoSpaceDN w:val="0"/>
        <w:adjustRightInd w:val="0"/>
        <w:rPr>
          <w:color w:val="000000" w:themeColor="text1"/>
          <w:sz w:val="18"/>
          <w:szCs w:val="18"/>
        </w:rPr>
      </w:pPr>
      <w:r w:rsidRPr="007A764A">
        <w:rPr>
          <w:color w:val="000000" w:themeColor="text1"/>
          <w:sz w:val="18"/>
          <w:szCs w:val="18"/>
          <w:vertAlign w:val="superscript"/>
        </w:rPr>
        <w:t>3</w:t>
      </w:r>
      <w:r w:rsidRPr="007A764A">
        <w:rPr>
          <w:color w:val="000000" w:themeColor="text1"/>
          <w:sz w:val="18"/>
          <w:szCs w:val="18"/>
        </w:rPr>
        <w:t xml:space="preserve"> </w:t>
      </w:r>
      <w:r>
        <w:rPr>
          <w:color w:val="000000" w:themeColor="text1"/>
          <w:sz w:val="18"/>
          <w:szCs w:val="18"/>
        </w:rPr>
        <w:t>p</w:t>
      </w:r>
      <w:r w:rsidRPr="007A764A">
        <w:rPr>
          <w:color w:val="000000" w:themeColor="text1"/>
          <w:sz w:val="18"/>
          <w:szCs w:val="18"/>
        </w:rPr>
        <w:t>-values indicating significant differences are bolded and underlined.</w:t>
      </w:r>
    </w:p>
    <w:p w14:paraId="20643C71" w14:textId="77777777" w:rsidR="00333AC0" w:rsidRPr="007A764A" w:rsidRDefault="00333AC0" w:rsidP="00011A05">
      <w:pPr>
        <w:autoSpaceDE w:val="0"/>
        <w:autoSpaceDN w:val="0"/>
        <w:adjustRightInd w:val="0"/>
        <w:rPr>
          <w:color w:val="000000" w:themeColor="text1"/>
          <w:sz w:val="18"/>
          <w:szCs w:val="18"/>
        </w:rPr>
      </w:pPr>
      <w:r>
        <w:rPr>
          <w:color w:val="000000" w:themeColor="text1"/>
          <w:sz w:val="18"/>
          <w:szCs w:val="18"/>
          <w:vertAlign w:val="superscript"/>
        </w:rPr>
        <w:t>4</w:t>
      </w:r>
      <w:r w:rsidRPr="007A764A">
        <w:rPr>
          <w:color w:val="000000" w:themeColor="text1"/>
          <w:sz w:val="18"/>
          <w:szCs w:val="18"/>
          <w:vertAlign w:val="superscript"/>
        </w:rPr>
        <w:t xml:space="preserve"> </w:t>
      </w:r>
      <w:r w:rsidRPr="007A764A">
        <w:rPr>
          <w:color w:val="000000" w:themeColor="text1"/>
          <w:sz w:val="18"/>
          <w:szCs w:val="18"/>
        </w:rPr>
        <w:t xml:space="preserve">Combined literature range compiled from ILSI </w:t>
      </w:r>
      <w:r w:rsidRPr="007A764A">
        <w:rPr>
          <w:noProof/>
          <w:color w:val="000000" w:themeColor="text1"/>
          <w:sz w:val="18"/>
          <w:szCs w:val="18"/>
        </w:rPr>
        <w:t>(2014)</w:t>
      </w:r>
      <w:r w:rsidRPr="007A764A">
        <w:rPr>
          <w:color w:val="000000" w:themeColor="text1"/>
          <w:sz w:val="18"/>
          <w:szCs w:val="18"/>
        </w:rPr>
        <w:t xml:space="preserve"> and/or Heuze et al </w:t>
      </w:r>
      <w:r w:rsidRPr="007A764A">
        <w:rPr>
          <w:noProof/>
          <w:color w:val="000000" w:themeColor="text1"/>
          <w:sz w:val="18"/>
          <w:szCs w:val="18"/>
        </w:rPr>
        <w:t>(2015)</w:t>
      </w:r>
    </w:p>
    <w:p w14:paraId="20643C72" w14:textId="77777777" w:rsidR="00333AC0" w:rsidRPr="007A764A" w:rsidRDefault="00333AC0" w:rsidP="00011A05">
      <w:pPr>
        <w:pStyle w:val="Heading3"/>
      </w:pPr>
      <w:r w:rsidRPr="007A764A">
        <w:t xml:space="preserve">5.3.2 </w:t>
      </w:r>
      <w:r w:rsidRPr="007A764A">
        <w:tab/>
      </w:r>
      <w:r>
        <w:t>Fatty acids</w:t>
      </w:r>
    </w:p>
    <w:p w14:paraId="20643C73" w14:textId="77777777" w:rsidR="00333AC0" w:rsidRPr="00B96AC3" w:rsidRDefault="00333AC0" w:rsidP="00011A05">
      <w:pPr>
        <w:autoSpaceDE w:val="0"/>
        <w:autoSpaceDN w:val="0"/>
        <w:adjustRightInd w:val="0"/>
        <w:rPr>
          <w:color w:val="000000" w:themeColor="text1"/>
          <w:sz w:val="23"/>
          <w:szCs w:val="23"/>
        </w:rPr>
      </w:pPr>
      <w:r w:rsidRPr="00B96AC3">
        <w:rPr>
          <w:color w:val="000000" w:themeColor="text1"/>
        </w:rPr>
        <w:t xml:space="preserve">Three fatty acids (palmitic, oleic and linoleic acids) account for approximately 93% of the total fatty acids in rice grain </w:t>
      </w:r>
      <w:r w:rsidRPr="00B96AC3">
        <w:rPr>
          <w:noProof/>
          <w:color w:val="000000" w:themeColor="text1"/>
        </w:rPr>
        <w:t>(ILSI 2014)</w:t>
      </w:r>
      <w:r w:rsidRPr="00B96AC3">
        <w:rPr>
          <w:color w:val="000000" w:themeColor="text1"/>
        </w:rPr>
        <w:t xml:space="preserve">. The levels of 21 fatty acids were measured, and of these the following 10 were below the level of quantification (LOQ) and were therefore excluded from analysis: </w:t>
      </w:r>
      <w:r w:rsidRPr="00B96AC3">
        <w:rPr>
          <w:rFonts w:eastAsia="PMingLiU" w:cs="Arial"/>
          <w:color w:val="000000" w:themeColor="text1"/>
          <w:szCs w:val="22"/>
        </w:rPr>
        <w:t xml:space="preserve">: </w:t>
      </w:r>
      <w:r w:rsidRPr="00B96AC3">
        <w:rPr>
          <w:color w:val="000000" w:themeColor="text1"/>
          <w:sz w:val="23"/>
          <w:szCs w:val="23"/>
        </w:rPr>
        <w:t xml:space="preserve">caprylic (8:0), capric (10:0), lauric (12:0), pentadecanoic (15:0), heptadecanoic (17:0), eicosadienoic (20:2), eicosatrienoic (20:3), arachidonic (20:4), erucic (22:1) and nervonic (24:1). </w:t>
      </w:r>
    </w:p>
    <w:p w14:paraId="20643C74" w14:textId="77777777" w:rsidR="00333AC0" w:rsidRPr="00B96AC3" w:rsidRDefault="00333AC0" w:rsidP="00011A05">
      <w:pPr>
        <w:tabs>
          <w:tab w:val="left" w:pos="2805"/>
        </w:tabs>
        <w:autoSpaceDE w:val="0"/>
        <w:autoSpaceDN w:val="0"/>
        <w:adjustRightInd w:val="0"/>
        <w:rPr>
          <w:color w:val="000000" w:themeColor="text1"/>
          <w:sz w:val="23"/>
          <w:szCs w:val="23"/>
        </w:rPr>
      </w:pPr>
    </w:p>
    <w:p w14:paraId="20643C75" w14:textId="77777777" w:rsidR="00333AC0" w:rsidRPr="00B96AC3" w:rsidRDefault="00333AC0" w:rsidP="00011A05">
      <w:pPr>
        <w:autoSpaceDE w:val="0"/>
        <w:autoSpaceDN w:val="0"/>
        <w:adjustRightInd w:val="0"/>
        <w:rPr>
          <w:color w:val="000000" w:themeColor="text1"/>
        </w:rPr>
      </w:pPr>
      <w:r w:rsidRPr="00B96AC3">
        <w:rPr>
          <w:color w:val="000000" w:themeColor="text1"/>
        </w:rPr>
        <w:t xml:space="preserve">Results for the remaining 11 fatty acids are given </w:t>
      </w:r>
      <w:r w:rsidRPr="00B275D4">
        <w:rPr>
          <w:color w:val="000000" w:themeColor="text1"/>
        </w:rPr>
        <w:t>in Table 8. Stearic</w:t>
      </w:r>
      <w:r w:rsidRPr="00B96AC3">
        <w:rPr>
          <w:color w:val="000000" w:themeColor="text1"/>
        </w:rPr>
        <w:t xml:space="preserve"> acid was significantly higher</w:t>
      </w:r>
      <w:r>
        <w:rPr>
          <w:color w:val="000000" w:themeColor="text1"/>
        </w:rPr>
        <w:t xml:space="preserve"> (6.5% higher)</w:t>
      </w:r>
      <w:r w:rsidRPr="00B96AC3">
        <w:rPr>
          <w:color w:val="000000" w:themeColor="text1"/>
        </w:rPr>
        <w:t xml:space="preserve"> in gr</w:t>
      </w:r>
      <w:r>
        <w:rPr>
          <w:color w:val="000000" w:themeColor="text1"/>
        </w:rPr>
        <w:t>ain of GR2E than in the control; the mean level of stearic acid in both GR2E and the control was slightly higher than the range reported in</w:t>
      </w:r>
      <w:r w:rsidRPr="00B96AC3">
        <w:rPr>
          <w:color w:val="000000" w:themeColor="text1"/>
        </w:rPr>
        <w:t xml:space="preserve"> </w:t>
      </w:r>
      <w:r>
        <w:rPr>
          <w:color w:val="000000" w:themeColor="text1"/>
        </w:rPr>
        <w:t xml:space="preserve">the </w:t>
      </w:r>
      <w:r w:rsidRPr="00821C60">
        <w:rPr>
          <w:color w:val="000000" w:themeColor="text1"/>
          <w:szCs w:val="22"/>
        </w:rPr>
        <w:t xml:space="preserve">ILSI </w:t>
      </w:r>
      <w:r w:rsidRPr="00821C60">
        <w:rPr>
          <w:noProof/>
          <w:color w:val="000000" w:themeColor="text1"/>
          <w:szCs w:val="22"/>
        </w:rPr>
        <w:t>(2014)</w:t>
      </w:r>
      <w:r w:rsidRPr="00821C60">
        <w:rPr>
          <w:color w:val="000000" w:themeColor="text1"/>
          <w:szCs w:val="22"/>
        </w:rPr>
        <w:t xml:space="preserve"> Crop</w:t>
      </w:r>
      <w:r>
        <w:rPr>
          <w:color w:val="000000" w:themeColor="text1"/>
        </w:rPr>
        <w:t xml:space="preserve"> Composition Database. </w:t>
      </w:r>
      <w:r w:rsidRPr="00B96AC3">
        <w:rPr>
          <w:color w:val="000000" w:themeColor="text1"/>
        </w:rPr>
        <w:t>For all other fatty acids, there was no significant difference between levels in grain of GR2E and the control.</w:t>
      </w:r>
    </w:p>
    <w:p w14:paraId="20643C76" w14:textId="77777777" w:rsidR="00333AC0" w:rsidRPr="00B96AC3" w:rsidRDefault="00333AC0" w:rsidP="00011A05">
      <w:pPr>
        <w:autoSpaceDE w:val="0"/>
        <w:autoSpaceDN w:val="0"/>
        <w:adjustRightInd w:val="0"/>
        <w:rPr>
          <w:color w:val="000000" w:themeColor="text1"/>
        </w:rPr>
      </w:pPr>
    </w:p>
    <w:p w14:paraId="20643C77" w14:textId="77777777" w:rsidR="00333AC0" w:rsidRDefault="00333AC0" w:rsidP="00011A05">
      <w:pPr>
        <w:pStyle w:val="Caption"/>
        <w:keepNext/>
        <w:ind w:left="993" w:hanging="993"/>
        <w:rPr>
          <w:sz w:val="22"/>
          <w:szCs w:val="22"/>
        </w:rPr>
      </w:pPr>
      <w:bookmarkStart w:id="57" w:name="_Toc487212007"/>
      <w:r w:rsidRPr="00B96AC3">
        <w:rPr>
          <w:sz w:val="22"/>
          <w:szCs w:val="22"/>
        </w:rPr>
        <w:t xml:space="preserve">Table </w:t>
      </w:r>
      <w:r w:rsidRPr="00B96AC3">
        <w:rPr>
          <w:sz w:val="22"/>
          <w:szCs w:val="22"/>
        </w:rPr>
        <w:fldChar w:fldCharType="begin"/>
      </w:r>
      <w:r w:rsidRPr="00B96AC3">
        <w:rPr>
          <w:sz w:val="22"/>
          <w:szCs w:val="22"/>
        </w:rPr>
        <w:instrText xml:space="preserve"> SEQ Table \* ARABIC </w:instrText>
      </w:r>
      <w:r w:rsidRPr="00B96AC3">
        <w:rPr>
          <w:sz w:val="22"/>
          <w:szCs w:val="22"/>
        </w:rPr>
        <w:fldChar w:fldCharType="separate"/>
      </w:r>
      <w:r w:rsidR="00286242">
        <w:rPr>
          <w:noProof/>
          <w:sz w:val="22"/>
          <w:szCs w:val="22"/>
        </w:rPr>
        <w:t>8</w:t>
      </w:r>
      <w:r w:rsidRPr="00B96AC3">
        <w:rPr>
          <w:sz w:val="22"/>
          <w:szCs w:val="22"/>
        </w:rPr>
        <w:fldChar w:fldCharType="end"/>
      </w:r>
      <w:r w:rsidRPr="00B96AC3">
        <w:rPr>
          <w:sz w:val="22"/>
          <w:szCs w:val="22"/>
        </w:rPr>
        <w:t xml:space="preserve">: Mean percentage </w:t>
      </w:r>
      <w:r>
        <w:rPr>
          <w:sz w:val="22"/>
          <w:szCs w:val="22"/>
        </w:rPr>
        <w:t xml:space="preserve">(range) </w:t>
      </w:r>
      <w:r w:rsidRPr="00B96AC3">
        <w:rPr>
          <w:sz w:val="22"/>
          <w:szCs w:val="22"/>
        </w:rPr>
        <w:t xml:space="preserve">composition, relative to total fat </w:t>
      </w:r>
      <w:r>
        <w:rPr>
          <w:sz w:val="22"/>
          <w:szCs w:val="22"/>
        </w:rPr>
        <w:t>of major fatty acids in paddy rice grai</w:t>
      </w:r>
      <w:r w:rsidRPr="00B96AC3">
        <w:rPr>
          <w:sz w:val="22"/>
          <w:szCs w:val="22"/>
        </w:rPr>
        <w:t>n from GR2E and the Rc82 control</w:t>
      </w:r>
      <w:r>
        <w:rPr>
          <w:sz w:val="22"/>
          <w:szCs w:val="22"/>
        </w:rPr>
        <w:t xml:space="preserve"> </w:t>
      </w:r>
      <w:r w:rsidRPr="007A764A">
        <w:rPr>
          <w:sz w:val="22"/>
          <w:szCs w:val="22"/>
        </w:rPr>
        <w:t>collected over two growing seasons and four locations</w:t>
      </w:r>
      <w:bookmarkEnd w:id="57"/>
    </w:p>
    <w:p w14:paraId="20643C78" w14:textId="77777777" w:rsidR="00333AC0" w:rsidRPr="00B96AC3" w:rsidRDefault="00333AC0" w:rsidP="00011A05">
      <w:pPr>
        <w:rPr>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8: Mean percentage (range) composition, relative to total fat of major fatty acids in paddy rice grain from GR2E and the Rc82 control collected over two growing seasons and four locations"/>
      </w:tblPr>
      <w:tblGrid>
        <w:gridCol w:w="1951"/>
        <w:gridCol w:w="1701"/>
        <w:gridCol w:w="1701"/>
        <w:gridCol w:w="1276"/>
        <w:gridCol w:w="1701"/>
      </w:tblGrid>
      <w:tr w:rsidR="00333AC0" w:rsidRPr="00E308F0" w14:paraId="20643C81" w14:textId="77777777" w:rsidTr="00011A05">
        <w:trPr>
          <w:trHeight w:val="880"/>
          <w:tblHeader/>
        </w:trPr>
        <w:tc>
          <w:tcPr>
            <w:tcW w:w="1951" w:type="dxa"/>
            <w:tcBorders>
              <w:bottom w:val="single" w:sz="4" w:space="0" w:color="auto"/>
            </w:tcBorders>
            <w:shd w:val="clear" w:color="auto" w:fill="9BBB59" w:themeFill="accent3"/>
            <w:noWrap/>
            <w:vAlign w:val="center"/>
          </w:tcPr>
          <w:p w14:paraId="20643C79" w14:textId="77777777" w:rsidR="00333AC0" w:rsidRPr="00AA6C46" w:rsidRDefault="00333AC0" w:rsidP="00011A05">
            <w:pPr>
              <w:jc w:val="center"/>
              <w:rPr>
                <w:rFonts w:cs="Arial"/>
                <w:b/>
                <w:bCs/>
                <w:color w:val="FFFFFF" w:themeColor="background1"/>
                <w:sz w:val="18"/>
                <w:szCs w:val="18"/>
              </w:rPr>
            </w:pPr>
            <w:r>
              <w:rPr>
                <w:rFonts w:cs="Arial"/>
                <w:b/>
                <w:bCs/>
                <w:color w:val="FFFFFF" w:themeColor="background1"/>
                <w:sz w:val="18"/>
                <w:szCs w:val="18"/>
              </w:rPr>
              <w:t>Fatty acid</w:t>
            </w:r>
          </w:p>
        </w:tc>
        <w:tc>
          <w:tcPr>
            <w:tcW w:w="1701" w:type="dxa"/>
            <w:tcBorders>
              <w:bottom w:val="single" w:sz="4" w:space="0" w:color="auto"/>
            </w:tcBorders>
            <w:shd w:val="clear" w:color="auto" w:fill="9BBB59" w:themeFill="accent3"/>
            <w:vAlign w:val="center"/>
          </w:tcPr>
          <w:p w14:paraId="20643C7A" w14:textId="77777777" w:rsidR="00333AC0" w:rsidRDefault="00333AC0" w:rsidP="00011A05">
            <w:pPr>
              <w:jc w:val="center"/>
              <w:rPr>
                <w:rFonts w:eastAsiaTheme="minorHAnsi" w:cs="Arial"/>
                <w:b/>
                <w:color w:val="FFFFFF" w:themeColor="background1"/>
                <w:sz w:val="18"/>
                <w:szCs w:val="18"/>
              </w:rPr>
            </w:pPr>
            <w:r w:rsidRPr="00AA6C46">
              <w:rPr>
                <w:rFonts w:eastAsiaTheme="minorHAnsi" w:cs="Arial"/>
                <w:b/>
                <w:color w:val="FFFFFF" w:themeColor="background1"/>
                <w:sz w:val="18"/>
                <w:szCs w:val="18"/>
              </w:rPr>
              <w:t>GR2E</w:t>
            </w:r>
          </w:p>
          <w:p w14:paraId="20643C7B" w14:textId="77777777" w:rsidR="00333AC0" w:rsidRPr="00AA6C46"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 Total)</w:t>
            </w:r>
          </w:p>
        </w:tc>
        <w:tc>
          <w:tcPr>
            <w:tcW w:w="1701" w:type="dxa"/>
            <w:tcBorders>
              <w:bottom w:val="single" w:sz="4" w:space="0" w:color="auto"/>
            </w:tcBorders>
            <w:shd w:val="clear" w:color="auto" w:fill="9BBB59" w:themeFill="accent3"/>
            <w:vAlign w:val="center"/>
          </w:tcPr>
          <w:p w14:paraId="20643C7C" w14:textId="77777777" w:rsidR="00333AC0" w:rsidRDefault="00333AC0" w:rsidP="00011A05">
            <w:pPr>
              <w:jc w:val="center"/>
              <w:rPr>
                <w:rFonts w:eastAsiaTheme="minorHAnsi" w:cs="Arial"/>
                <w:b/>
                <w:color w:val="FFFFFF" w:themeColor="background1"/>
                <w:sz w:val="18"/>
                <w:szCs w:val="18"/>
              </w:rPr>
            </w:pPr>
            <w:r w:rsidRPr="00AA6C46">
              <w:rPr>
                <w:rFonts w:eastAsiaTheme="minorHAnsi" w:cs="Arial"/>
                <w:b/>
                <w:color w:val="FFFFFF" w:themeColor="background1"/>
                <w:sz w:val="18"/>
                <w:szCs w:val="18"/>
              </w:rPr>
              <w:t>Control</w:t>
            </w:r>
            <w:r>
              <w:rPr>
                <w:rFonts w:eastAsiaTheme="minorHAnsi" w:cs="Arial"/>
                <w:b/>
                <w:color w:val="FFFFFF" w:themeColor="background1"/>
                <w:sz w:val="18"/>
                <w:szCs w:val="18"/>
              </w:rPr>
              <w:t xml:space="preserve"> </w:t>
            </w:r>
          </w:p>
          <w:p w14:paraId="20643C7D" w14:textId="77777777" w:rsidR="00333AC0" w:rsidRPr="00AA6C46" w:rsidRDefault="00333AC0" w:rsidP="00011A05">
            <w:pPr>
              <w:jc w:val="center"/>
              <w:rPr>
                <w:rFonts w:eastAsiaTheme="minorHAnsi" w:cs="Arial"/>
                <w:b/>
                <w:color w:val="FFFFFF" w:themeColor="background1"/>
                <w:sz w:val="18"/>
                <w:szCs w:val="18"/>
              </w:rPr>
            </w:pPr>
            <w:r>
              <w:rPr>
                <w:rFonts w:eastAsiaTheme="minorHAnsi" w:cs="Arial"/>
                <w:b/>
                <w:color w:val="FFFFFF" w:themeColor="background1"/>
                <w:sz w:val="18"/>
                <w:szCs w:val="18"/>
              </w:rPr>
              <w:t>(%Total)</w:t>
            </w:r>
          </w:p>
        </w:tc>
        <w:tc>
          <w:tcPr>
            <w:tcW w:w="1276" w:type="dxa"/>
            <w:tcBorders>
              <w:bottom w:val="single" w:sz="4" w:space="0" w:color="auto"/>
            </w:tcBorders>
            <w:shd w:val="clear" w:color="auto" w:fill="9BBB59" w:themeFill="accent3"/>
            <w:vAlign w:val="center"/>
          </w:tcPr>
          <w:p w14:paraId="20643C7E" w14:textId="77777777" w:rsidR="00333AC0" w:rsidRPr="00AA6C46"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AA6C46">
              <w:rPr>
                <w:rFonts w:cs="Arial"/>
                <w:b/>
                <w:bCs/>
                <w:color w:val="FFFFFF" w:themeColor="background1"/>
                <w:sz w:val="18"/>
                <w:szCs w:val="18"/>
              </w:rPr>
              <w:t>-value</w:t>
            </w:r>
            <w:r>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C7F" w14:textId="77777777" w:rsidR="00333AC0" w:rsidRDefault="00333AC0" w:rsidP="00011A05">
            <w:pPr>
              <w:jc w:val="center"/>
              <w:rPr>
                <w:rFonts w:cs="Arial"/>
                <w:b/>
                <w:bCs/>
                <w:color w:val="FFFFFF" w:themeColor="background1"/>
                <w:sz w:val="18"/>
                <w:szCs w:val="18"/>
              </w:rPr>
            </w:pPr>
            <w:r w:rsidRPr="00AA6C46">
              <w:rPr>
                <w:rFonts w:cs="Arial"/>
                <w:b/>
                <w:bCs/>
                <w:color w:val="FFFFFF" w:themeColor="background1"/>
                <w:sz w:val="18"/>
                <w:szCs w:val="18"/>
              </w:rPr>
              <w:t>Combined literature</w:t>
            </w:r>
            <w:r w:rsidRPr="00AA6C46">
              <w:rPr>
                <w:rFonts w:cs="Arial"/>
                <w:b/>
                <w:bCs/>
                <w:color w:val="FFFFFF" w:themeColor="background1"/>
                <w:sz w:val="18"/>
                <w:szCs w:val="18"/>
              </w:rPr>
              <w:br/>
              <w:t>range</w:t>
            </w:r>
            <w:r>
              <w:rPr>
                <w:rFonts w:cs="Arial"/>
                <w:b/>
                <w:bCs/>
                <w:color w:val="FFFFFF" w:themeColor="background1"/>
                <w:sz w:val="18"/>
                <w:szCs w:val="18"/>
                <w:vertAlign w:val="superscript"/>
              </w:rPr>
              <w:t>3</w:t>
            </w:r>
            <w:r w:rsidRPr="00AA6C46">
              <w:rPr>
                <w:rFonts w:cs="Arial"/>
                <w:b/>
                <w:bCs/>
                <w:color w:val="FFFFFF" w:themeColor="background1"/>
                <w:sz w:val="18"/>
                <w:szCs w:val="18"/>
              </w:rPr>
              <w:t xml:space="preserve"> </w:t>
            </w:r>
          </w:p>
          <w:p w14:paraId="20643C80" w14:textId="77777777" w:rsidR="00333AC0" w:rsidRPr="00AA6C46" w:rsidRDefault="00333AC0" w:rsidP="00011A05">
            <w:pPr>
              <w:jc w:val="center"/>
              <w:rPr>
                <w:rFonts w:cs="Arial"/>
                <w:b/>
                <w:bCs/>
                <w:color w:val="FFFFFF" w:themeColor="background1"/>
                <w:sz w:val="18"/>
                <w:szCs w:val="18"/>
              </w:rPr>
            </w:pPr>
            <w:r>
              <w:rPr>
                <w:rFonts w:cs="Arial"/>
                <w:b/>
                <w:bCs/>
                <w:color w:val="FFFFFF" w:themeColor="background1"/>
                <w:sz w:val="18"/>
                <w:szCs w:val="18"/>
              </w:rPr>
              <w:t>(% Total)</w:t>
            </w:r>
          </w:p>
        </w:tc>
      </w:tr>
      <w:tr w:rsidR="00333AC0" w:rsidRPr="00E308F0" w14:paraId="20643C89" w14:textId="77777777" w:rsidTr="00011A05">
        <w:trPr>
          <w:trHeight w:val="510"/>
        </w:trPr>
        <w:tc>
          <w:tcPr>
            <w:tcW w:w="1951" w:type="dxa"/>
            <w:shd w:val="clear" w:color="auto" w:fill="auto"/>
            <w:noWrap/>
            <w:vAlign w:val="center"/>
          </w:tcPr>
          <w:p w14:paraId="20643C8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Myristic (14:0)</w:t>
            </w:r>
          </w:p>
        </w:tc>
        <w:tc>
          <w:tcPr>
            <w:tcW w:w="1701" w:type="dxa"/>
            <w:vAlign w:val="center"/>
          </w:tcPr>
          <w:p w14:paraId="20643C83"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0.438</w:t>
            </w:r>
          </w:p>
          <w:p w14:paraId="20643C84"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(0.346 – 0.518)</w:t>
            </w:r>
          </w:p>
        </w:tc>
        <w:tc>
          <w:tcPr>
            <w:tcW w:w="1701" w:type="dxa"/>
            <w:vAlign w:val="center"/>
          </w:tcPr>
          <w:p w14:paraId="20643C85"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 xml:space="preserve">0.393 </w:t>
            </w:r>
          </w:p>
          <w:p w14:paraId="20643C86"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(0.251 – 0.492)</w:t>
            </w:r>
          </w:p>
        </w:tc>
        <w:tc>
          <w:tcPr>
            <w:tcW w:w="1276" w:type="dxa"/>
            <w:vAlign w:val="center"/>
          </w:tcPr>
          <w:p w14:paraId="20643C87"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0.1983</w:t>
            </w:r>
          </w:p>
        </w:tc>
        <w:tc>
          <w:tcPr>
            <w:tcW w:w="1701" w:type="dxa"/>
            <w:shd w:val="clear" w:color="auto" w:fill="auto"/>
            <w:noWrap/>
            <w:vAlign w:val="center"/>
          </w:tcPr>
          <w:p w14:paraId="20643C88" w14:textId="77777777" w:rsidR="00333AC0" w:rsidRPr="008C59D5" w:rsidRDefault="00333AC0" w:rsidP="00011A05">
            <w:pPr>
              <w:jc w:val="center"/>
              <w:rPr>
                <w:rFonts w:cs="Arial"/>
                <w:color w:val="000000" w:themeColor="text1"/>
                <w:sz w:val="18"/>
                <w:szCs w:val="18"/>
              </w:rPr>
            </w:pPr>
            <w:r w:rsidRPr="008C59D5">
              <w:rPr>
                <w:rFonts w:cs="Arial"/>
                <w:color w:val="000000" w:themeColor="text1"/>
                <w:sz w:val="18"/>
                <w:szCs w:val="18"/>
              </w:rPr>
              <w:t>1.12 – 1.</w:t>
            </w:r>
            <w:r>
              <w:rPr>
                <w:rFonts w:cs="Arial"/>
                <w:color w:val="000000" w:themeColor="text1"/>
                <w:sz w:val="18"/>
                <w:szCs w:val="18"/>
              </w:rPr>
              <w:t>21</w:t>
            </w:r>
            <w:r w:rsidRPr="008C59D5">
              <w:rPr>
                <w:rFonts w:cs="Arial"/>
                <w:color w:val="000000" w:themeColor="text1"/>
                <w:sz w:val="18"/>
                <w:szCs w:val="18"/>
              </w:rPr>
              <w:t xml:space="preserve"> </w:t>
            </w:r>
          </w:p>
        </w:tc>
      </w:tr>
      <w:tr w:rsidR="00333AC0" w:rsidRPr="00E308F0" w14:paraId="20643C91" w14:textId="77777777" w:rsidTr="00011A05">
        <w:trPr>
          <w:trHeight w:val="510"/>
        </w:trPr>
        <w:tc>
          <w:tcPr>
            <w:tcW w:w="1951" w:type="dxa"/>
            <w:shd w:val="clear" w:color="auto" w:fill="EAF1DD" w:themeFill="accent3" w:themeFillTint="33"/>
            <w:noWrap/>
            <w:vAlign w:val="center"/>
          </w:tcPr>
          <w:p w14:paraId="20643C8A"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Palmitic (16:0)</w:t>
            </w:r>
          </w:p>
        </w:tc>
        <w:tc>
          <w:tcPr>
            <w:tcW w:w="1701" w:type="dxa"/>
            <w:shd w:val="clear" w:color="auto" w:fill="EAF1DD" w:themeFill="accent3" w:themeFillTint="33"/>
            <w:vAlign w:val="center"/>
          </w:tcPr>
          <w:p w14:paraId="20643C8B"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 xml:space="preserve">19.54 </w:t>
            </w:r>
          </w:p>
          <w:p w14:paraId="20643C8C"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(18.8 – 20.4)</w:t>
            </w:r>
          </w:p>
        </w:tc>
        <w:tc>
          <w:tcPr>
            <w:tcW w:w="1701" w:type="dxa"/>
            <w:shd w:val="clear" w:color="auto" w:fill="EAF1DD" w:themeFill="accent3" w:themeFillTint="33"/>
            <w:vAlign w:val="center"/>
          </w:tcPr>
          <w:p w14:paraId="20643C8D"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18.45</w:t>
            </w:r>
          </w:p>
          <w:p w14:paraId="20643C8E"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(15.8 – 19.1)</w:t>
            </w:r>
          </w:p>
        </w:tc>
        <w:tc>
          <w:tcPr>
            <w:tcW w:w="1276" w:type="dxa"/>
            <w:shd w:val="clear" w:color="auto" w:fill="EAF1DD" w:themeFill="accent3" w:themeFillTint="33"/>
            <w:vAlign w:val="center"/>
          </w:tcPr>
          <w:p w14:paraId="20643C8F"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0.2216</w:t>
            </w:r>
          </w:p>
        </w:tc>
        <w:tc>
          <w:tcPr>
            <w:tcW w:w="1701" w:type="dxa"/>
            <w:shd w:val="clear" w:color="auto" w:fill="EAF1DD" w:themeFill="accent3" w:themeFillTint="33"/>
            <w:noWrap/>
            <w:vAlign w:val="center"/>
          </w:tcPr>
          <w:p w14:paraId="20643C90"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14.9 – 16.94</w:t>
            </w:r>
          </w:p>
        </w:tc>
      </w:tr>
      <w:tr w:rsidR="00333AC0" w:rsidRPr="00E308F0" w14:paraId="20643C99" w14:textId="77777777" w:rsidTr="00011A05">
        <w:trPr>
          <w:trHeight w:val="510"/>
        </w:trPr>
        <w:tc>
          <w:tcPr>
            <w:tcW w:w="1951" w:type="dxa"/>
            <w:shd w:val="clear" w:color="auto" w:fill="auto"/>
            <w:noWrap/>
            <w:vAlign w:val="center"/>
          </w:tcPr>
          <w:p w14:paraId="20643C9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Palmitoleic (16:1)</w:t>
            </w:r>
          </w:p>
        </w:tc>
        <w:tc>
          <w:tcPr>
            <w:tcW w:w="1701" w:type="dxa"/>
            <w:shd w:val="clear" w:color="auto" w:fill="auto"/>
            <w:vAlign w:val="center"/>
          </w:tcPr>
          <w:p w14:paraId="20643C93"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0.193</w:t>
            </w:r>
          </w:p>
          <w:p w14:paraId="20643C94"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(0.16 – 0.218)</w:t>
            </w:r>
          </w:p>
        </w:tc>
        <w:tc>
          <w:tcPr>
            <w:tcW w:w="1701" w:type="dxa"/>
            <w:shd w:val="clear" w:color="auto" w:fill="auto"/>
            <w:vAlign w:val="center"/>
          </w:tcPr>
          <w:p w14:paraId="20643C95"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0.191</w:t>
            </w:r>
          </w:p>
          <w:p w14:paraId="20643C96"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(0.153 – 0.217)</w:t>
            </w:r>
          </w:p>
        </w:tc>
        <w:tc>
          <w:tcPr>
            <w:tcW w:w="1276" w:type="dxa"/>
            <w:shd w:val="clear" w:color="auto" w:fill="auto"/>
            <w:vAlign w:val="center"/>
          </w:tcPr>
          <w:p w14:paraId="20643C97"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0.3614</w:t>
            </w:r>
          </w:p>
        </w:tc>
        <w:tc>
          <w:tcPr>
            <w:tcW w:w="1701" w:type="dxa"/>
            <w:shd w:val="clear" w:color="auto" w:fill="auto"/>
            <w:noWrap/>
            <w:vAlign w:val="center"/>
          </w:tcPr>
          <w:p w14:paraId="20643C98"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0.26 – 0.93</w:t>
            </w:r>
          </w:p>
        </w:tc>
      </w:tr>
      <w:tr w:rsidR="00333AC0" w:rsidRPr="00E308F0" w14:paraId="20643CA1" w14:textId="77777777" w:rsidTr="00011A05">
        <w:trPr>
          <w:trHeight w:val="510"/>
        </w:trPr>
        <w:tc>
          <w:tcPr>
            <w:tcW w:w="1951" w:type="dxa"/>
            <w:shd w:val="clear" w:color="auto" w:fill="EAF1DD" w:themeFill="accent3" w:themeFillTint="33"/>
            <w:noWrap/>
            <w:vAlign w:val="center"/>
          </w:tcPr>
          <w:p w14:paraId="20643C9A"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Stearic (18:0)</w:t>
            </w:r>
          </w:p>
        </w:tc>
        <w:tc>
          <w:tcPr>
            <w:tcW w:w="1701" w:type="dxa"/>
            <w:shd w:val="clear" w:color="auto" w:fill="FDE9D9" w:themeFill="accent6" w:themeFillTint="33"/>
            <w:vAlign w:val="center"/>
          </w:tcPr>
          <w:p w14:paraId="20643C9B"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2.25</w:t>
            </w:r>
          </w:p>
          <w:p w14:paraId="20643C9C" w14:textId="77777777" w:rsidR="00333AC0" w:rsidRPr="00463F68" w:rsidRDefault="00333AC0" w:rsidP="00011A05">
            <w:pPr>
              <w:jc w:val="center"/>
              <w:rPr>
                <w:rFonts w:cs="Arial"/>
                <w:color w:val="000000" w:themeColor="text1"/>
                <w:sz w:val="18"/>
                <w:szCs w:val="18"/>
                <w:vertAlign w:val="superscript"/>
              </w:rPr>
            </w:pPr>
            <w:r w:rsidRPr="00463F68">
              <w:rPr>
                <w:rFonts w:cs="Arial"/>
                <w:color w:val="000000" w:themeColor="text1"/>
                <w:sz w:val="18"/>
                <w:szCs w:val="18"/>
              </w:rPr>
              <w:t>(1.95 – 2.78)</w:t>
            </w:r>
            <w:r>
              <w:rPr>
                <w:rFonts w:cs="Arial"/>
                <w:color w:val="000000" w:themeColor="text1"/>
                <w:sz w:val="18"/>
                <w:szCs w:val="18"/>
                <w:vertAlign w:val="superscript"/>
              </w:rPr>
              <w:t>2</w:t>
            </w:r>
          </w:p>
        </w:tc>
        <w:tc>
          <w:tcPr>
            <w:tcW w:w="1701" w:type="dxa"/>
            <w:shd w:val="clear" w:color="auto" w:fill="EAF1DD" w:themeFill="accent3" w:themeFillTint="33"/>
            <w:vAlign w:val="center"/>
          </w:tcPr>
          <w:p w14:paraId="20643C9D"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2.11</w:t>
            </w:r>
          </w:p>
          <w:p w14:paraId="20643C9E"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(1.71 – 2.68)</w:t>
            </w:r>
          </w:p>
        </w:tc>
        <w:tc>
          <w:tcPr>
            <w:tcW w:w="1276" w:type="dxa"/>
            <w:shd w:val="clear" w:color="auto" w:fill="EAF1DD" w:themeFill="accent3" w:themeFillTint="33"/>
            <w:vAlign w:val="center"/>
          </w:tcPr>
          <w:p w14:paraId="20643C9F" w14:textId="77777777" w:rsidR="00333AC0" w:rsidRPr="00821C60" w:rsidRDefault="00333AC0" w:rsidP="00011A05">
            <w:pPr>
              <w:jc w:val="center"/>
              <w:rPr>
                <w:rFonts w:cs="Arial"/>
                <w:b/>
                <w:color w:val="000000" w:themeColor="text1"/>
                <w:sz w:val="18"/>
                <w:szCs w:val="18"/>
                <w:u w:val="single"/>
              </w:rPr>
            </w:pPr>
            <w:r w:rsidRPr="00821C60">
              <w:rPr>
                <w:rFonts w:cs="Arial"/>
                <w:b/>
                <w:color w:val="000000" w:themeColor="text1"/>
                <w:sz w:val="18"/>
                <w:szCs w:val="18"/>
                <w:u w:val="single"/>
              </w:rPr>
              <w:t>0.0487</w:t>
            </w:r>
          </w:p>
        </w:tc>
        <w:tc>
          <w:tcPr>
            <w:tcW w:w="1701" w:type="dxa"/>
            <w:shd w:val="clear" w:color="auto" w:fill="EAF1DD" w:themeFill="accent3" w:themeFillTint="33"/>
            <w:noWrap/>
            <w:vAlign w:val="center"/>
          </w:tcPr>
          <w:p w14:paraId="20643CA0" w14:textId="77777777" w:rsidR="00333AC0" w:rsidRPr="00463F68" w:rsidRDefault="00333AC0" w:rsidP="00011A05">
            <w:pPr>
              <w:jc w:val="center"/>
              <w:rPr>
                <w:rFonts w:cs="Arial"/>
                <w:color w:val="000000" w:themeColor="text1"/>
                <w:sz w:val="18"/>
                <w:szCs w:val="18"/>
              </w:rPr>
            </w:pPr>
            <w:r w:rsidRPr="00463F68">
              <w:rPr>
                <w:rFonts w:cs="Arial"/>
                <w:color w:val="000000" w:themeColor="text1"/>
                <w:sz w:val="18"/>
                <w:szCs w:val="18"/>
              </w:rPr>
              <w:t>1.68 – 2.09</w:t>
            </w:r>
          </w:p>
        </w:tc>
      </w:tr>
      <w:tr w:rsidR="00333AC0" w:rsidRPr="00E308F0" w14:paraId="20643CA9" w14:textId="77777777" w:rsidTr="00011A05">
        <w:trPr>
          <w:trHeight w:val="510"/>
        </w:trPr>
        <w:tc>
          <w:tcPr>
            <w:tcW w:w="1951" w:type="dxa"/>
            <w:shd w:val="clear" w:color="auto" w:fill="auto"/>
            <w:noWrap/>
            <w:vAlign w:val="center"/>
          </w:tcPr>
          <w:p w14:paraId="20643CA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Oleic (18:1)</w:t>
            </w:r>
          </w:p>
        </w:tc>
        <w:tc>
          <w:tcPr>
            <w:tcW w:w="1701" w:type="dxa"/>
            <w:shd w:val="clear" w:color="auto" w:fill="auto"/>
            <w:vAlign w:val="center"/>
          </w:tcPr>
          <w:p w14:paraId="20643CA3"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39.7</w:t>
            </w:r>
          </w:p>
          <w:p w14:paraId="20643CA4"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(38.4 – 41.3)</w:t>
            </w:r>
          </w:p>
        </w:tc>
        <w:tc>
          <w:tcPr>
            <w:tcW w:w="1701" w:type="dxa"/>
            <w:shd w:val="clear" w:color="auto" w:fill="auto"/>
            <w:vAlign w:val="center"/>
          </w:tcPr>
          <w:p w14:paraId="20643CA5"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 xml:space="preserve">40.23 </w:t>
            </w:r>
          </w:p>
          <w:p w14:paraId="20643CA6"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(38.4 – 45.9)</w:t>
            </w:r>
          </w:p>
        </w:tc>
        <w:tc>
          <w:tcPr>
            <w:tcW w:w="1276" w:type="dxa"/>
            <w:shd w:val="clear" w:color="auto" w:fill="auto"/>
            <w:vAlign w:val="center"/>
          </w:tcPr>
          <w:p w14:paraId="20643CA7"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0.4866</w:t>
            </w:r>
          </w:p>
        </w:tc>
        <w:tc>
          <w:tcPr>
            <w:tcW w:w="1701" w:type="dxa"/>
            <w:shd w:val="clear" w:color="auto" w:fill="auto"/>
            <w:noWrap/>
            <w:vAlign w:val="center"/>
          </w:tcPr>
          <w:p w14:paraId="20643CA8"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37.49 – 40.49</w:t>
            </w:r>
          </w:p>
        </w:tc>
      </w:tr>
      <w:tr w:rsidR="00333AC0" w:rsidRPr="00E308F0" w14:paraId="20643CB1" w14:textId="77777777" w:rsidTr="00011A05">
        <w:trPr>
          <w:trHeight w:val="510"/>
        </w:trPr>
        <w:tc>
          <w:tcPr>
            <w:tcW w:w="1951" w:type="dxa"/>
            <w:shd w:val="clear" w:color="auto" w:fill="EAF1DD" w:themeFill="accent3" w:themeFillTint="33"/>
            <w:noWrap/>
            <w:vAlign w:val="center"/>
          </w:tcPr>
          <w:p w14:paraId="20643CAA"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Linoleic (18:2)</w:t>
            </w:r>
          </w:p>
        </w:tc>
        <w:tc>
          <w:tcPr>
            <w:tcW w:w="1701" w:type="dxa"/>
            <w:shd w:val="clear" w:color="auto" w:fill="EAF1DD" w:themeFill="accent3" w:themeFillTint="33"/>
            <w:vAlign w:val="center"/>
          </w:tcPr>
          <w:p w14:paraId="20643CAB"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33.45</w:t>
            </w:r>
          </w:p>
          <w:p w14:paraId="20643CAC"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(32.4 – 34.4)</w:t>
            </w:r>
          </w:p>
        </w:tc>
        <w:tc>
          <w:tcPr>
            <w:tcW w:w="1701" w:type="dxa"/>
            <w:shd w:val="clear" w:color="auto" w:fill="EAF1DD" w:themeFill="accent3" w:themeFillTint="33"/>
            <w:vAlign w:val="center"/>
          </w:tcPr>
          <w:p w14:paraId="20643CAD"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34.03</w:t>
            </w:r>
          </w:p>
          <w:p w14:paraId="20643CAE"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(30.1 – 35.4)</w:t>
            </w:r>
          </w:p>
        </w:tc>
        <w:tc>
          <w:tcPr>
            <w:tcW w:w="1276" w:type="dxa"/>
            <w:shd w:val="clear" w:color="auto" w:fill="EAF1DD" w:themeFill="accent3" w:themeFillTint="33"/>
            <w:vAlign w:val="center"/>
          </w:tcPr>
          <w:p w14:paraId="20643CAF"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0.3944</w:t>
            </w:r>
          </w:p>
        </w:tc>
        <w:tc>
          <w:tcPr>
            <w:tcW w:w="1701" w:type="dxa"/>
            <w:shd w:val="clear" w:color="auto" w:fill="EAF1DD" w:themeFill="accent3" w:themeFillTint="33"/>
            <w:noWrap/>
            <w:vAlign w:val="center"/>
          </w:tcPr>
          <w:p w14:paraId="20643CB0"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37.51 – 38.49</w:t>
            </w:r>
          </w:p>
        </w:tc>
      </w:tr>
      <w:tr w:rsidR="00333AC0" w:rsidRPr="00E308F0" w14:paraId="20643CB9" w14:textId="77777777" w:rsidTr="00011A05">
        <w:trPr>
          <w:trHeight w:val="510"/>
        </w:trPr>
        <w:tc>
          <w:tcPr>
            <w:tcW w:w="1951" w:type="dxa"/>
            <w:shd w:val="clear" w:color="auto" w:fill="auto"/>
            <w:noWrap/>
            <w:vAlign w:val="center"/>
          </w:tcPr>
          <w:p w14:paraId="20643CB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α-Linolenic (18:3)</w:t>
            </w:r>
          </w:p>
        </w:tc>
        <w:tc>
          <w:tcPr>
            <w:tcW w:w="1701" w:type="dxa"/>
            <w:shd w:val="clear" w:color="auto" w:fill="auto"/>
            <w:vAlign w:val="center"/>
          </w:tcPr>
          <w:p w14:paraId="20643CB3"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1.63</w:t>
            </w:r>
          </w:p>
          <w:p w14:paraId="20643CB4"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(1.34 – 2.31)</w:t>
            </w:r>
          </w:p>
        </w:tc>
        <w:tc>
          <w:tcPr>
            <w:tcW w:w="1701" w:type="dxa"/>
            <w:shd w:val="clear" w:color="auto" w:fill="auto"/>
            <w:vAlign w:val="center"/>
          </w:tcPr>
          <w:p w14:paraId="20643CB5"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1.64</w:t>
            </w:r>
          </w:p>
          <w:p w14:paraId="20643CB6"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(1.27 – 2.7)</w:t>
            </w:r>
          </w:p>
        </w:tc>
        <w:tc>
          <w:tcPr>
            <w:tcW w:w="1276" w:type="dxa"/>
            <w:shd w:val="clear" w:color="auto" w:fill="auto"/>
            <w:vAlign w:val="center"/>
          </w:tcPr>
          <w:p w14:paraId="20643CB7"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0.8871</w:t>
            </w:r>
          </w:p>
        </w:tc>
        <w:tc>
          <w:tcPr>
            <w:tcW w:w="1701" w:type="dxa"/>
            <w:shd w:val="clear" w:color="auto" w:fill="auto"/>
            <w:noWrap/>
            <w:vAlign w:val="center"/>
          </w:tcPr>
          <w:p w14:paraId="20643CB8"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1.12 – 1.21</w:t>
            </w:r>
          </w:p>
        </w:tc>
      </w:tr>
      <w:tr w:rsidR="00333AC0" w:rsidRPr="00E308F0" w14:paraId="20643CC1" w14:textId="77777777" w:rsidTr="00011A05">
        <w:trPr>
          <w:trHeight w:val="510"/>
        </w:trPr>
        <w:tc>
          <w:tcPr>
            <w:tcW w:w="1951" w:type="dxa"/>
            <w:shd w:val="clear" w:color="auto" w:fill="EAF1DD" w:themeFill="accent3" w:themeFillTint="33"/>
            <w:noWrap/>
            <w:vAlign w:val="center"/>
          </w:tcPr>
          <w:p w14:paraId="20643CBA"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Arachidic (20:0)</w:t>
            </w:r>
          </w:p>
        </w:tc>
        <w:tc>
          <w:tcPr>
            <w:tcW w:w="1701" w:type="dxa"/>
            <w:shd w:val="clear" w:color="auto" w:fill="EAF1DD" w:themeFill="accent3" w:themeFillTint="33"/>
            <w:vAlign w:val="center"/>
          </w:tcPr>
          <w:p w14:paraId="20643CBB"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0.862</w:t>
            </w:r>
          </w:p>
          <w:p w14:paraId="20643CBC"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(0.739 – 0.989)</w:t>
            </w:r>
          </w:p>
        </w:tc>
        <w:tc>
          <w:tcPr>
            <w:tcW w:w="1701" w:type="dxa"/>
            <w:shd w:val="clear" w:color="auto" w:fill="EAF1DD" w:themeFill="accent3" w:themeFillTint="33"/>
            <w:vAlign w:val="center"/>
          </w:tcPr>
          <w:p w14:paraId="20643CBD"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0.887</w:t>
            </w:r>
          </w:p>
          <w:p w14:paraId="20643CBE"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(0.743 – 1.02)</w:t>
            </w:r>
          </w:p>
        </w:tc>
        <w:tc>
          <w:tcPr>
            <w:tcW w:w="1276" w:type="dxa"/>
            <w:shd w:val="clear" w:color="auto" w:fill="EAF1DD" w:themeFill="accent3" w:themeFillTint="33"/>
            <w:vAlign w:val="center"/>
          </w:tcPr>
          <w:p w14:paraId="20643CBF"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0.1967</w:t>
            </w:r>
          </w:p>
        </w:tc>
        <w:tc>
          <w:tcPr>
            <w:tcW w:w="1701" w:type="dxa"/>
            <w:shd w:val="clear" w:color="auto" w:fill="EAF1DD" w:themeFill="accent3" w:themeFillTint="33"/>
            <w:noWrap/>
            <w:vAlign w:val="center"/>
          </w:tcPr>
          <w:p w14:paraId="20643CC0"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0.66 – 0.79</w:t>
            </w:r>
          </w:p>
        </w:tc>
      </w:tr>
      <w:tr w:rsidR="00333AC0" w:rsidRPr="00E308F0" w14:paraId="20643CC9" w14:textId="77777777" w:rsidTr="00011A05">
        <w:trPr>
          <w:trHeight w:val="510"/>
        </w:trPr>
        <w:tc>
          <w:tcPr>
            <w:tcW w:w="1951" w:type="dxa"/>
            <w:tcBorders>
              <w:bottom w:val="single" w:sz="4" w:space="0" w:color="auto"/>
            </w:tcBorders>
            <w:shd w:val="clear" w:color="auto" w:fill="auto"/>
            <w:noWrap/>
            <w:vAlign w:val="center"/>
          </w:tcPr>
          <w:p w14:paraId="20643CC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Eicosenoic (20:1)</w:t>
            </w:r>
          </w:p>
        </w:tc>
        <w:tc>
          <w:tcPr>
            <w:tcW w:w="1701" w:type="dxa"/>
            <w:tcBorders>
              <w:bottom w:val="single" w:sz="4" w:space="0" w:color="auto"/>
            </w:tcBorders>
            <w:shd w:val="clear" w:color="auto" w:fill="auto"/>
            <w:vAlign w:val="center"/>
          </w:tcPr>
          <w:p w14:paraId="20643CC3"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0.476</w:t>
            </w:r>
          </w:p>
          <w:p w14:paraId="20643CC4"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(0.405 – 0.538)</w:t>
            </w:r>
          </w:p>
        </w:tc>
        <w:tc>
          <w:tcPr>
            <w:tcW w:w="1701" w:type="dxa"/>
            <w:tcBorders>
              <w:bottom w:val="single" w:sz="4" w:space="0" w:color="auto"/>
            </w:tcBorders>
            <w:shd w:val="clear" w:color="auto" w:fill="auto"/>
            <w:vAlign w:val="center"/>
          </w:tcPr>
          <w:p w14:paraId="20643CC5"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0.515</w:t>
            </w:r>
          </w:p>
          <w:p w14:paraId="20643CC6"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(0.442 – 0.773)</w:t>
            </w:r>
          </w:p>
        </w:tc>
        <w:tc>
          <w:tcPr>
            <w:tcW w:w="1276" w:type="dxa"/>
            <w:tcBorders>
              <w:bottom w:val="single" w:sz="4" w:space="0" w:color="auto"/>
            </w:tcBorders>
            <w:shd w:val="clear" w:color="auto" w:fill="auto"/>
            <w:vAlign w:val="center"/>
          </w:tcPr>
          <w:p w14:paraId="20643CC7"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0.2857</w:t>
            </w:r>
          </w:p>
        </w:tc>
        <w:tc>
          <w:tcPr>
            <w:tcW w:w="1701" w:type="dxa"/>
            <w:tcBorders>
              <w:bottom w:val="single" w:sz="4" w:space="0" w:color="auto"/>
            </w:tcBorders>
            <w:shd w:val="clear" w:color="auto" w:fill="auto"/>
            <w:noWrap/>
            <w:vAlign w:val="center"/>
          </w:tcPr>
          <w:p w14:paraId="20643CC8"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0.54 – 0.58</w:t>
            </w:r>
          </w:p>
        </w:tc>
      </w:tr>
      <w:tr w:rsidR="00333AC0" w:rsidRPr="00E308F0" w14:paraId="20643CD1" w14:textId="77777777" w:rsidTr="00011A05">
        <w:trPr>
          <w:trHeight w:val="510"/>
        </w:trPr>
        <w:tc>
          <w:tcPr>
            <w:tcW w:w="1951" w:type="dxa"/>
            <w:tcBorders>
              <w:bottom w:val="single" w:sz="4" w:space="0" w:color="auto"/>
            </w:tcBorders>
            <w:shd w:val="clear" w:color="auto" w:fill="EAF1DD" w:themeFill="accent3" w:themeFillTint="33"/>
            <w:noWrap/>
            <w:vAlign w:val="center"/>
          </w:tcPr>
          <w:p w14:paraId="20643CCA"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Behenic (22:0)</w:t>
            </w:r>
          </w:p>
        </w:tc>
        <w:tc>
          <w:tcPr>
            <w:tcW w:w="1701" w:type="dxa"/>
            <w:tcBorders>
              <w:bottom w:val="single" w:sz="4" w:space="0" w:color="auto"/>
            </w:tcBorders>
            <w:shd w:val="clear" w:color="auto" w:fill="EAF1DD" w:themeFill="accent3" w:themeFillTint="33"/>
            <w:vAlign w:val="center"/>
          </w:tcPr>
          <w:p w14:paraId="20643CCB"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0.508</w:t>
            </w:r>
          </w:p>
          <w:p w14:paraId="20643CCC"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(0.407 – 0.585)</w:t>
            </w:r>
          </w:p>
        </w:tc>
        <w:tc>
          <w:tcPr>
            <w:tcW w:w="1701" w:type="dxa"/>
            <w:tcBorders>
              <w:bottom w:val="single" w:sz="4" w:space="0" w:color="auto"/>
            </w:tcBorders>
            <w:shd w:val="clear" w:color="auto" w:fill="EAF1DD" w:themeFill="accent3" w:themeFillTint="33"/>
            <w:vAlign w:val="center"/>
          </w:tcPr>
          <w:p w14:paraId="20643CCD"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0.543</w:t>
            </w:r>
          </w:p>
          <w:p w14:paraId="20643CCE"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(0.478 – 0.61)</w:t>
            </w:r>
          </w:p>
        </w:tc>
        <w:tc>
          <w:tcPr>
            <w:tcW w:w="1276" w:type="dxa"/>
            <w:tcBorders>
              <w:bottom w:val="single" w:sz="4" w:space="0" w:color="auto"/>
            </w:tcBorders>
            <w:shd w:val="clear" w:color="auto" w:fill="EAF1DD" w:themeFill="accent3" w:themeFillTint="33"/>
            <w:vAlign w:val="center"/>
          </w:tcPr>
          <w:p w14:paraId="20643CCF"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0.142</w:t>
            </w:r>
          </w:p>
        </w:tc>
        <w:tc>
          <w:tcPr>
            <w:tcW w:w="1701" w:type="dxa"/>
            <w:tcBorders>
              <w:bottom w:val="single" w:sz="4" w:space="0" w:color="auto"/>
            </w:tcBorders>
            <w:shd w:val="clear" w:color="auto" w:fill="EAF1DD" w:themeFill="accent3" w:themeFillTint="33"/>
            <w:noWrap/>
            <w:vAlign w:val="center"/>
          </w:tcPr>
          <w:p w14:paraId="20643CD0" w14:textId="77777777" w:rsidR="00333AC0" w:rsidRPr="00536607" w:rsidRDefault="00333AC0" w:rsidP="00011A05">
            <w:pPr>
              <w:jc w:val="center"/>
              <w:rPr>
                <w:rFonts w:cs="Arial"/>
                <w:color w:val="000000" w:themeColor="text1"/>
                <w:sz w:val="18"/>
                <w:szCs w:val="18"/>
              </w:rPr>
            </w:pPr>
            <w:r w:rsidRPr="00536607">
              <w:rPr>
                <w:rFonts w:cs="Arial"/>
                <w:color w:val="000000" w:themeColor="text1"/>
                <w:sz w:val="18"/>
                <w:szCs w:val="18"/>
              </w:rPr>
              <w:t>0.48 – 0.82</w:t>
            </w:r>
          </w:p>
        </w:tc>
      </w:tr>
      <w:tr w:rsidR="00333AC0" w:rsidRPr="007A764A" w14:paraId="20643CD9" w14:textId="77777777" w:rsidTr="00011A05">
        <w:trPr>
          <w:trHeight w:val="510"/>
        </w:trPr>
        <w:tc>
          <w:tcPr>
            <w:tcW w:w="1951" w:type="dxa"/>
            <w:tcBorders>
              <w:bottom w:val="single" w:sz="4" w:space="0" w:color="auto"/>
            </w:tcBorders>
            <w:shd w:val="clear" w:color="auto" w:fill="auto"/>
            <w:noWrap/>
            <w:vAlign w:val="center"/>
          </w:tcPr>
          <w:p w14:paraId="20643CD2" w14:textId="77777777" w:rsidR="00333AC0" w:rsidRPr="00255584" w:rsidRDefault="00333AC0" w:rsidP="00011A05">
            <w:pPr>
              <w:jc w:val="center"/>
              <w:rPr>
                <w:rFonts w:cs="Arial"/>
                <w:color w:val="000000" w:themeColor="text1"/>
                <w:sz w:val="18"/>
                <w:szCs w:val="18"/>
              </w:rPr>
            </w:pPr>
            <w:r w:rsidRPr="00255584">
              <w:rPr>
                <w:rFonts w:cs="Arial"/>
                <w:color w:val="000000" w:themeColor="text1"/>
                <w:sz w:val="18"/>
                <w:szCs w:val="18"/>
              </w:rPr>
              <w:t>Lignoceric (24:0)</w:t>
            </w:r>
          </w:p>
        </w:tc>
        <w:tc>
          <w:tcPr>
            <w:tcW w:w="1701" w:type="dxa"/>
            <w:tcBorders>
              <w:bottom w:val="single" w:sz="4" w:space="0" w:color="auto"/>
            </w:tcBorders>
            <w:vAlign w:val="center"/>
          </w:tcPr>
          <w:p w14:paraId="20643CD3" w14:textId="77777777" w:rsidR="00333AC0" w:rsidRPr="00B96AC3" w:rsidRDefault="00333AC0" w:rsidP="00011A05">
            <w:pPr>
              <w:jc w:val="center"/>
              <w:rPr>
                <w:rFonts w:cs="Arial"/>
                <w:color w:val="000000" w:themeColor="text1"/>
                <w:sz w:val="18"/>
                <w:szCs w:val="18"/>
              </w:rPr>
            </w:pPr>
            <w:r w:rsidRPr="00B96AC3">
              <w:rPr>
                <w:rFonts w:cs="Arial"/>
                <w:color w:val="000000" w:themeColor="text1"/>
                <w:sz w:val="18"/>
                <w:szCs w:val="18"/>
              </w:rPr>
              <w:t>0.931</w:t>
            </w:r>
          </w:p>
          <w:p w14:paraId="20643CD4" w14:textId="77777777" w:rsidR="00333AC0" w:rsidRPr="00B96AC3" w:rsidRDefault="00333AC0" w:rsidP="00011A05">
            <w:pPr>
              <w:jc w:val="center"/>
              <w:rPr>
                <w:rFonts w:cs="Arial"/>
                <w:color w:val="000000" w:themeColor="text1"/>
                <w:sz w:val="18"/>
                <w:szCs w:val="18"/>
              </w:rPr>
            </w:pPr>
            <w:r w:rsidRPr="00B96AC3">
              <w:rPr>
                <w:rFonts w:cs="Arial"/>
                <w:color w:val="000000" w:themeColor="text1"/>
                <w:sz w:val="18"/>
                <w:szCs w:val="18"/>
              </w:rPr>
              <w:t>(0.687 – 1.25)</w:t>
            </w:r>
          </w:p>
        </w:tc>
        <w:tc>
          <w:tcPr>
            <w:tcW w:w="1701" w:type="dxa"/>
            <w:tcBorders>
              <w:bottom w:val="single" w:sz="4" w:space="0" w:color="auto"/>
            </w:tcBorders>
            <w:shd w:val="clear" w:color="auto" w:fill="auto"/>
            <w:vAlign w:val="center"/>
          </w:tcPr>
          <w:p w14:paraId="20643CD5" w14:textId="77777777" w:rsidR="00333AC0" w:rsidRPr="00B96AC3" w:rsidRDefault="00333AC0" w:rsidP="00011A05">
            <w:pPr>
              <w:jc w:val="center"/>
              <w:rPr>
                <w:rFonts w:cs="Arial"/>
                <w:color w:val="000000" w:themeColor="text1"/>
                <w:sz w:val="18"/>
                <w:szCs w:val="18"/>
              </w:rPr>
            </w:pPr>
            <w:r w:rsidRPr="00B96AC3">
              <w:rPr>
                <w:rFonts w:cs="Arial"/>
                <w:color w:val="000000" w:themeColor="text1"/>
                <w:sz w:val="18"/>
                <w:szCs w:val="18"/>
              </w:rPr>
              <w:t>1.00</w:t>
            </w:r>
          </w:p>
          <w:p w14:paraId="20643CD6" w14:textId="77777777" w:rsidR="00333AC0" w:rsidRPr="00B96AC3" w:rsidRDefault="00333AC0" w:rsidP="00011A05">
            <w:pPr>
              <w:jc w:val="center"/>
              <w:rPr>
                <w:rFonts w:cs="Arial"/>
                <w:color w:val="000000" w:themeColor="text1"/>
                <w:sz w:val="18"/>
                <w:szCs w:val="18"/>
                <w:vertAlign w:val="superscript"/>
              </w:rPr>
            </w:pPr>
            <w:r w:rsidRPr="00B96AC3">
              <w:rPr>
                <w:rFonts w:cs="Arial"/>
                <w:color w:val="000000" w:themeColor="text1"/>
                <w:sz w:val="18"/>
                <w:szCs w:val="18"/>
              </w:rPr>
              <w:t>(0.805 – 1.19)</w:t>
            </w:r>
          </w:p>
        </w:tc>
        <w:tc>
          <w:tcPr>
            <w:tcW w:w="1276" w:type="dxa"/>
            <w:tcBorders>
              <w:bottom w:val="single" w:sz="4" w:space="0" w:color="auto"/>
            </w:tcBorders>
            <w:shd w:val="clear" w:color="auto" w:fill="auto"/>
            <w:vAlign w:val="center"/>
          </w:tcPr>
          <w:p w14:paraId="20643CD7" w14:textId="77777777" w:rsidR="00333AC0" w:rsidRPr="00B96AC3" w:rsidRDefault="00333AC0" w:rsidP="00011A05">
            <w:pPr>
              <w:jc w:val="center"/>
              <w:rPr>
                <w:rFonts w:cs="Arial"/>
                <w:color w:val="000000" w:themeColor="text1"/>
                <w:sz w:val="18"/>
                <w:szCs w:val="18"/>
                <w:vertAlign w:val="superscript"/>
              </w:rPr>
            </w:pPr>
            <w:r w:rsidRPr="00B96AC3">
              <w:rPr>
                <w:rFonts w:cs="Arial"/>
                <w:color w:val="000000" w:themeColor="text1"/>
                <w:sz w:val="18"/>
                <w:szCs w:val="18"/>
              </w:rPr>
              <w:t>0.1159</w:t>
            </w:r>
          </w:p>
        </w:tc>
        <w:tc>
          <w:tcPr>
            <w:tcW w:w="1701" w:type="dxa"/>
            <w:tcBorders>
              <w:bottom w:val="single" w:sz="4" w:space="0" w:color="auto"/>
            </w:tcBorders>
            <w:shd w:val="clear" w:color="auto" w:fill="auto"/>
            <w:noWrap/>
            <w:vAlign w:val="center"/>
          </w:tcPr>
          <w:p w14:paraId="20643CD8" w14:textId="77777777" w:rsidR="00333AC0" w:rsidRPr="00B96AC3" w:rsidRDefault="00333AC0" w:rsidP="00011A05">
            <w:pPr>
              <w:jc w:val="center"/>
              <w:rPr>
                <w:rFonts w:cs="Arial"/>
                <w:color w:val="000000" w:themeColor="text1"/>
                <w:sz w:val="18"/>
                <w:szCs w:val="18"/>
              </w:rPr>
            </w:pPr>
            <w:r w:rsidRPr="00B96AC3">
              <w:rPr>
                <w:rFonts w:cs="Arial"/>
                <w:color w:val="000000" w:themeColor="text1"/>
                <w:sz w:val="18"/>
                <w:szCs w:val="18"/>
              </w:rPr>
              <w:t>1.06 – 1.34</w:t>
            </w:r>
          </w:p>
        </w:tc>
      </w:tr>
    </w:tbl>
    <w:p w14:paraId="20643CDA" w14:textId="77777777" w:rsidR="00333AC0" w:rsidRPr="007A764A" w:rsidRDefault="00333AC0" w:rsidP="00011A05">
      <w:pPr>
        <w:autoSpaceDE w:val="0"/>
        <w:autoSpaceDN w:val="0"/>
        <w:adjustRightInd w:val="0"/>
        <w:rPr>
          <w:color w:val="000000" w:themeColor="text1"/>
          <w:sz w:val="18"/>
          <w:szCs w:val="18"/>
        </w:rPr>
      </w:pPr>
      <w:r>
        <w:rPr>
          <w:color w:val="000000" w:themeColor="text1"/>
          <w:sz w:val="18"/>
          <w:szCs w:val="18"/>
          <w:vertAlign w:val="superscript"/>
        </w:rPr>
        <w:t>1</w:t>
      </w:r>
      <w:r>
        <w:rPr>
          <w:color w:val="000000" w:themeColor="text1"/>
          <w:sz w:val="18"/>
          <w:szCs w:val="18"/>
        </w:rPr>
        <w:t xml:space="preserve"> p</w:t>
      </w:r>
      <w:r w:rsidRPr="007A764A">
        <w:rPr>
          <w:color w:val="000000" w:themeColor="text1"/>
          <w:sz w:val="18"/>
          <w:szCs w:val="18"/>
        </w:rPr>
        <w:t>-values indicating significant differences are bolded and underlined.</w:t>
      </w:r>
    </w:p>
    <w:p w14:paraId="20643CDB" w14:textId="77777777" w:rsidR="00333AC0" w:rsidRDefault="00333AC0" w:rsidP="00011A05">
      <w:pPr>
        <w:autoSpaceDE w:val="0"/>
        <w:autoSpaceDN w:val="0"/>
        <w:adjustRightInd w:val="0"/>
        <w:rPr>
          <w:color w:val="000000" w:themeColor="text1"/>
          <w:sz w:val="18"/>
          <w:szCs w:val="18"/>
        </w:rPr>
      </w:pPr>
      <w:r w:rsidRPr="00D00302">
        <w:rPr>
          <w:color w:val="000000" w:themeColor="text1"/>
          <w:sz w:val="18"/>
          <w:szCs w:val="18"/>
          <w:vertAlign w:val="superscript"/>
        </w:rPr>
        <w:t>2</w:t>
      </w:r>
      <w:r>
        <w:rPr>
          <w:color w:val="000000" w:themeColor="text1"/>
          <w:sz w:val="18"/>
          <w:szCs w:val="18"/>
        </w:rPr>
        <w:t xml:space="preserve"> Orange shading represents GR2E mean with a significantly higher value than that for the Rc82 control.</w:t>
      </w:r>
    </w:p>
    <w:p w14:paraId="20643CDC" w14:textId="77777777" w:rsidR="00333AC0" w:rsidRDefault="00333AC0" w:rsidP="00011A05">
      <w:pPr>
        <w:autoSpaceDE w:val="0"/>
        <w:autoSpaceDN w:val="0"/>
        <w:adjustRightInd w:val="0"/>
        <w:rPr>
          <w:color w:val="000000" w:themeColor="text1"/>
          <w:sz w:val="18"/>
          <w:szCs w:val="18"/>
        </w:rPr>
      </w:pPr>
      <w:r>
        <w:rPr>
          <w:color w:val="000000" w:themeColor="text1"/>
          <w:sz w:val="18"/>
          <w:szCs w:val="18"/>
          <w:vertAlign w:val="superscript"/>
        </w:rPr>
        <w:t>3</w:t>
      </w:r>
      <w:r w:rsidRPr="007A764A">
        <w:rPr>
          <w:color w:val="000000" w:themeColor="text1"/>
          <w:sz w:val="18"/>
          <w:szCs w:val="18"/>
          <w:vertAlign w:val="superscript"/>
        </w:rPr>
        <w:t xml:space="preserve"> </w:t>
      </w:r>
      <w:r>
        <w:rPr>
          <w:color w:val="000000" w:themeColor="text1"/>
          <w:sz w:val="18"/>
          <w:szCs w:val="18"/>
        </w:rPr>
        <w:t>L</w:t>
      </w:r>
      <w:r w:rsidRPr="007A764A">
        <w:rPr>
          <w:color w:val="000000" w:themeColor="text1"/>
          <w:sz w:val="18"/>
          <w:szCs w:val="18"/>
        </w:rPr>
        <w:t xml:space="preserve">iterature range compiled from ILSI </w:t>
      </w:r>
      <w:r w:rsidRPr="007A764A">
        <w:rPr>
          <w:noProof/>
          <w:color w:val="000000" w:themeColor="text1"/>
          <w:sz w:val="18"/>
          <w:szCs w:val="18"/>
        </w:rPr>
        <w:t>(2014)</w:t>
      </w:r>
      <w:r>
        <w:rPr>
          <w:color w:val="000000" w:themeColor="text1"/>
          <w:sz w:val="18"/>
          <w:szCs w:val="18"/>
        </w:rPr>
        <w:t xml:space="preserve"> </w:t>
      </w:r>
    </w:p>
    <w:p w14:paraId="20643CDE" w14:textId="77777777" w:rsidR="00333AC0" w:rsidRPr="00E308F0" w:rsidRDefault="00333AC0" w:rsidP="00011A05">
      <w:pPr>
        <w:pStyle w:val="Heading3"/>
      </w:pPr>
      <w:r w:rsidRPr="00E308F0">
        <w:t xml:space="preserve">5.3.3 </w:t>
      </w:r>
      <w:r w:rsidRPr="00E308F0">
        <w:tab/>
      </w:r>
      <w:r>
        <w:t>A</w:t>
      </w:r>
      <w:r w:rsidRPr="00E308F0">
        <w:t>mino acids</w:t>
      </w:r>
    </w:p>
    <w:p w14:paraId="20643CDF" w14:textId="77777777" w:rsidR="00333AC0" w:rsidRPr="00A8343B" w:rsidRDefault="00333AC0" w:rsidP="00011A05">
      <w:pPr>
        <w:widowControl/>
        <w:autoSpaceDE w:val="0"/>
        <w:autoSpaceDN w:val="0"/>
        <w:adjustRightInd w:val="0"/>
        <w:rPr>
          <w:rFonts w:cs="Arial"/>
          <w:szCs w:val="22"/>
          <w:lang w:eastAsia="en-GB" w:bidi="ar-SA"/>
        </w:rPr>
      </w:pPr>
      <w:r w:rsidRPr="00921465">
        <w:rPr>
          <w:rFonts w:cs="Arial"/>
          <w:color w:val="000000" w:themeColor="text1"/>
          <w:szCs w:val="22"/>
        </w:rPr>
        <w:t xml:space="preserve">Levels of 18 amino acids were measured. Since asparagine and glutamine are converted to aspartate and glutamate respectively during the analysis, levels for aspartate include both aspartate and asparagine, while glutamate levels include both glutamate and glutamine. Results of the analysis are </w:t>
      </w:r>
      <w:r w:rsidRPr="000D309E">
        <w:rPr>
          <w:rFonts w:cs="Arial"/>
          <w:color w:val="000000" w:themeColor="text1"/>
          <w:szCs w:val="22"/>
        </w:rPr>
        <w:t xml:space="preserve">given </w:t>
      </w:r>
      <w:r w:rsidRPr="00B275D4">
        <w:rPr>
          <w:rFonts w:cs="Arial"/>
          <w:color w:val="000000" w:themeColor="text1"/>
          <w:szCs w:val="22"/>
        </w:rPr>
        <w:t xml:space="preserve">in </w:t>
      </w:r>
      <w:r w:rsidRPr="00B275D4">
        <w:rPr>
          <w:color w:val="000000" w:themeColor="text1"/>
        </w:rPr>
        <w:t>Table 9</w:t>
      </w:r>
      <w:r w:rsidRPr="00B275D4">
        <w:rPr>
          <w:rFonts w:cs="Arial"/>
          <w:color w:val="000000" w:themeColor="text1"/>
        </w:rPr>
        <w:t xml:space="preserve">. </w:t>
      </w:r>
      <w:r w:rsidRPr="00B275D4">
        <w:rPr>
          <w:rFonts w:cs="Arial"/>
          <w:szCs w:val="22"/>
          <w:lang w:eastAsia="en-GB" w:bidi="ar-SA"/>
        </w:rPr>
        <w:t>There</w:t>
      </w:r>
      <w:r w:rsidRPr="00A8343B">
        <w:rPr>
          <w:rFonts w:cs="Arial"/>
          <w:szCs w:val="22"/>
          <w:lang w:eastAsia="en-GB" w:bidi="ar-SA"/>
        </w:rPr>
        <w:t xml:space="preserve"> were no statistically significant differences in the concentrations of any amin</w:t>
      </w:r>
      <w:r>
        <w:rPr>
          <w:rFonts w:cs="Arial"/>
          <w:szCs w:val="22"/>
          <w:lang w:eastAsia="en-GB" w:bidi="ar-SA"/>
        </w:rPr>
        <w:t>o acids between grain of GR2E and Rc82</w:t>
      </w:r>
      <w:r w:rsidRPr="00A8343B">
        <w:rPr>
          <w:rFonts w:cs="Arial"/>
          <w:szCs w:val="22"/>
          <w:lang w:eastAsia="en-GB" w:bidi="ar-SA"/>
        </w:rPr>
        <w:t>.</w:t>
      </w:r>
    </w:p>
    <w:p w14:paraId="20643CE0" w14:textId="77777777" w:rsidR="00333AC0" w:rsidRDefault="00333AC0">
      <w:pPr>
        <w:widowControl/>
        <w:rPr>
          <w:b/>
          <w:bCs/>
          <w:szCs w:val="22"/>
          <w:lang w:val="en-AU" w:bidi="ar-SA"/>
        </w:rPr>
      </w:pPr>
    </w:p>
    <w:p w14:paraId="20643CE1" w14:textId="77777777" w:rsidR="00333AC0" w:rsidRPr="00A8343B" w:rsidRDefault="00333AC0" w:rsidP="00011A05">
      <w:pPr>
        <w:pStyle w:val="Caption"/>
        <w:keepNext/>
        <w:ind w:left="993" w:hanging="993"/>
        <w:rPr>
          <w:sz w:val="22"/>
          <w:szCs w:val="22"/>
        </w:rPr>
      </w:pPr>
      <w:bookmarkStart w:id="58" w:name="_Toc487212008"/>
      <w:r w:rsidRPr="00A8343B">
        <w:rPr>
          <w:sz w:val="22"/>
          <w:szCs w:val="22"/>
        </w:rPr>
        <w:t xml:space="preserve">Table </w:t>
      </w:r>
      <w:r w:rsidRPr="00A8343B">
        <w:rPr>
          <w:sz w:val="22"/>
          <w:szCs w:val="22"/>
        </w:rPr>
        <w:fldChar w:fldCharType="begin"/>
      </w:r>
      <w:r w:rsidRPr="00A8343B">
        <w:rPr>
          <w:sz w:val="22"/>
          <w:szCs w:val="22"/>
        </w:rPr>
        <w:instrText xml:space="preserve"> SEQ Table \* ARABIC </w:instrText>
      </w:r>
      <w:r w:rsidRPr="00A8343B">
        <w:rPr>
          <w:sz w:val="22"/>
          <w:szCs w:val="22"/>
        </w:rPr>
        <w:fldChar w:fldCharType="separate"/>
      </w:r>
      <w:r w:rsidR="00286242">
        <w:rPr>
          <w:noProof/>
          <w:sz w:val="22"/>
          <w:szCs w:val="22"/>
        </w:rPr>
        <w:t>9</w:t>
      </w:r>
      <w:r w:rsidRPr="00A8343B">
        <w:rPr>
          <w:sz w:val="22"/>
          <w:szCs w:val="22"/>
        </w:rPr>
        <w:fldChar w:fldCharType="end"/>
      </w:r>
      <w:r w:rsidRPr="00A8343B">
        <w:rPr>
          <w:sz w:val="22"/>
          <w:szCs w:val="22"/>
        </w:rPr>
        <w:t xml:space="preserve">: </w:t>
      </w:r>
      <w:r>
        <w:rPr>
          <w:sz w:val="22"/>
          <w:szCs w:val="22"/>
        </w:rPr>
        <w:t>Mean (range) a</w:t>
      </w:r>
      <w:r w:rsidRPr="00A8343B">
        <w:rPr>
          <w:sz w:val="22"/>
          <w:szCs w:val="22"/>
        </w:rPr>
        <w:t>mino acid composition (g/100 g dw) in paddy rice grain from GR2E and the Rc82 control collected over two growing seasons and four locations</w:t>
      </w:r>
      <w:bookmarkEnd w:id="58"/>
    </w:p>
    <w:p w14:paraId="20643CE2" w14:textId="77777777" w:rsidR="00333AC0" w:rsidRPr="00A8343B" w:rsidRDefault="00333AC0" w:rsidP="00011A05">
      <w:pPr>
        <w:rPr>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9: Mean (range) amino acid composition (g/100 g dw) in paddy rice grain from GR2E and the Rc82 control collected over two growing seasons and four locations"/>
      </w:tblPr>
      <w:tblGrid>
        <w:gridCol w:w="1668"/>
        <w:gridCol w:w="1843"/>
        <w:gridCol w:w="1842"/>
        <w:gridCol w:w="1276"/>
        <w:gridCol w:w="1701"/>
      </w:tblGrid>
      <w:tr w:rsidR="00333AC0" w:rsidRPr="00E308F0" w14:paraId="20643CEB" w14:textId="77777777" w:rsidTr="00011A05">
        <w:trPr>
          <w:trHeight w:val="880"/>
          <w:tblHeader/>
        </w:trPr>
        <w:tc>
          <w:tcPr>
            <w:tcW w:w="1668" w:type="dxa"/>
            <w:tcBorders>
              <w:bottom w:val="single" w:sz="4" w:space="0" w:color="auto"/>
            </w:tcBorders>
            <w:shd w:val="clear" w:color="auto" w:fill="9BBB59" w:themeFill="accent3"/>
            <w:noWrap/>
            <w:vAlign w:val="center"/>
          </w:tcPr>
          <w:p w14:paraId="20643CE3" w14:textId="77777777" w:rsidR="00333AC0" w:rsidRPr="00AA6C46" w:rsidRDefault="00333AC0" w:rsidP="00011A05">
            <w:pPr>
              <w:jc w:val="center"/>
              <w:rPr>
                <w:rFonts w:cs="Arial"/>
                <w:b/>
                <w:bCs/>
                <w:color w:val="FFFFFF" w:themeColor="background1"/>
                <w:sz w:val="18"/>
                <w:szCs w:val="18"/>
              </w:rPr>
            </w:pPr>
            <w:r>
              <w:rPr>
                <w:rFonts w:cs="Arial"/>
                <w:b/>
                <w:bCs/>
                <w:color w:val="FFFFFF" w:themeColor="background1"/>
                <w:sz w:val="18"/>
                <w:szCs w:val="18"/>
              </w:rPr>
              <w:t>Amino acid</w:t>
            </w:r>
          </w:p>
        </w:tc>
        <w:tc>
          <w:tcPr>
            <w:tcW w:w="1843" w:type="dxa"/>
            <w:tcBorders>
              <w:bottom w:val="single" w:sz="4" w:space="0" w:color="auto"/>
            </w:tcBorders>
            <w:shd w:val="clear" w:color="auto" w:fill="9BBB59" w:themeFill="accent3"/>
            <w:vAlign w:val="center"/>
          </w:tcPr>
          <w:p w14:paraId="20643CE4" w14:textId="77777777" w:rsidR="00333AC0" w:rsidRDefault="00333AC0" w:rsidP="00011A05">
            <w:pPr>
              <w:jc w:val="center"/>
              <w:rPr>
                <w:rFonts w:eastAsiaTheme="minorHAnsi" w:cs="Arial"/>
                <w:b/>
                <w:color w:val="FFFFFF" w:themeColor="background1"/>
                <w:sz w:val="18"/>
                <w:szCs w:val="18"/>
              </w:rPr>
            </w:pPr>
            <w:r w:rsidRPr="00AA6C46">
              <w:rPr>
                <w:rFonts w:eastAsiaTheme="minorHAnsi" w:cs="Arial"/>
                <w:b/>
                <w:color w:val="FFFFFF" w:themeColor="background1"/>
                <w:sz w:val="18"/>
                <w:szCs w:val="18"/>
              </w:rPr>
              <w:t>GR2E</w:t>
            </w:r>
          </w:p>
          <w:p w14:paraId="20643CE5" w14:textId="77777777" w:rsidR="00333AC0" w:rsidRPr="00AA6C46"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(mg/100 g dw)</w:t>
            </w:r>
          </w:p>
        </w:tc>
        <w:tc>
          <w:tcPr>
            <w:tcW w:w="1842" w:type="dxa"/>
            <w:tcBorders>
              <w:bottom w:val="single" w:sz="4" w:space="0" w:color="auto"/>
            </w:tcBorders>
            <w:shd w:val="clear" w:color="auto" w:fill="9BBB59" w:themeFill="accent3"/>
            <w:vAlign w:val="center"/>
          </w:tcPr>
          <w:p w14:paraId="20643CE6" w14:textId="77777777" w:rsidR="00333AC0" w:rsidRDefault="00333AC0" w:rsidP="00011A05">
            <w:pPr>
              <w:jc w:val="center"/>
              <w:rPr>
                <w:rFonts w:eastAsiaTheme="minorHAnsi" w:cs="Arial"/>
                <w:b/>
                <w:color w:val="FFFFFF" w:themeColor="background1"/>
                <w:sz w:val="18"/>
                <w:szCs w:val="18"/>
              </w:rPr>
            </w:pPr>
            <w:r w:rsidRPr="00AA6C46">
              <w:rPr>
                <w:rFonts w:eastAsiaTheme="minorHAnsi" w:cs="Arial"/>
                <w:b/>
                <w:color w:val="FFFFFF" w:themeColor="background1"/>
                <w:sz w:val="18"/>
                <w:szCs w:val="18"/>
              </w:rPr>
              <w:t>Control</w:t>
            </w:r>
            <w:r>
              <w:rPr>
                <w:rFonts w:eastAsiaTheme="minorHAnsi" w:cs="Arial"/>
                <w:b/>
                <w:color w:val="FFFFFF" w:themeColor="background1"/>
                <w:sz w:val="18"/>
                <w:szCs w:val="18"/>
              </w:rPr>
              <w:t xml:space="preserve"> </w:t>
            </w:r>
          </w:p>
          <w:p w14:paraId="20643CE7" w14:textId="77777777" w:rsidR="00333AC0" w:rsidRPr="00AA6C46" w:rsidRDefault="00333AC0" w:rsidP="00011A05">
            <w:pPr>
              <w:jc w:val="center"/>
              <w:rPr>
                <w:rFonts w:eastAsiaTheme="minorHAnsi" w:cs="Arial"/>
                <w:b/>
                <w:color w:val="FFFFFF" w:themeColor="background1"/>
                <w:sz w:val="18"/>
                <w:szCs w:val="18"/>
              </w:rPr>
            </w:pPr>
            <w:r>
              <w:rPr>
                <w:rFonts w:eastAsiaTheme="minorHAnsi" w:cs="Arial"/>
                <w:b/>
                <w:color w:val="FFFFFF" w:themeColor="background1"/>
                <w:sz w:val="18"/>
                <w:szCs w:val="18"/>
              </w:rPr>
              <w:t>(mg/100 g dw)</w:t>
            </w:r>
          </w:p>
        </w:tc>
        <w:tc>
          <w:tcPr>
            <w:tcW w:w="1276" w:type="dxa"/>
            <w:tcBorders>
              <w:bottom w:val="single" w:sz="4" w:space="0" w:color="auto"/>
            </w:tcBorders>
            <w:shd w:val="clear" w:color="auto" w:fill="9BBB59" w:themeFill="accent3"/>
            <w:vAlign w:val="center"/>
          </w:tcPr>
          <w:p w14:paraId="20643CE8" w14:textId="77777777" w:rsidR="00333AC0" w:rsidRPr="00AA6C46"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AA6C46">
              <w:rPr>
                <w:rFonts w:cs="Arial"/>
                <w:b/>
                <w:bCs/>
                <w:color w:val="FFFFFF" w:themeColor="background1"/>
                <w:sz w:val="18"/>
                <w:szCs w:val="18"/>
              </w:rPr>
              <w:t>-value</w:t>
            </w:r>
            <w:r>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CE9" w14:textId="77777777" w:rsidR="00333AC0" w:rsidRDefault="00333AC0" w:rsidP="00011A05">
            <w:pPr>
              <w:jc w:val="center"/>
              <w:rPr>
                <w:rFonts w:cs="Arial"/>
                <w:b/>
                <w:bCs/>
                <w:color w:val="FFFFFF" w:themeColor="background1"/>
                <w:sz w:val="18"/>
                <w:szCs w:val="18"/>
              </w:rPr>
            </w:pPr>
            <w:r w:rsidRPr="00AA6C46">
              <w:rPr>
                <w:rFonts w:cs="Arial"/>
                <w:b/>
                <w:bCs/>
                <w:color w:val="FFFFFF" w:themeColor="background1"/>
                <w:sz w:val="18"/>
                <w:szCs w:val="18"/>
              </w:rPr>
              <w:t>Combined literature</w:t>
            </w:r>
            <w:r w:rsidRPr="00AA6C46">
              <w:rPr>
                <w:rFonts w:cs="Arial"/>
                <w:b/>
                <w:bCs/>
                <w:color w:val="FFFFFF" w:themeColor="background1"/>
                <w:sz w:val="18"/>
                <w:szCs w:val="18"/>
              </w:rPr>
              <w:br/>
              <w:t>range</w:t>
            </w:r>
            <w:r>
              <w:rPr>
                <w:rFonts w:cs="Arial"/>
                <w:b/>
                <w:bCs/>
                <w:color w:val="FFFFFF" w:themeColor="background1"/>
                <w:sz w:val="18"/>
                <w:szCs w:val="18"/>
                <w:vertAlign w:val="superscript"/>
              </w:rPr>
              <w:t>2</w:t>
            </w:r>
            <w:r w:rsidRPr="00AA6C46">
              <w:rPr>
                <w:rFonts w:cs="Arial"/>
                <w:b/>
                <w:bCs/>
                <w:color w:val="FFFFFF" w:themeColor="background1"/>
                <w:sz w:val="18"/>
                <w:szCs w:val="18"/>
              </w:rPr>
              <w:t xml:space="preserve"> </w:t>
            </w:r>
          </w:p>
          <w:p w14:paraId="20643CEA" w14:textId="77777777" w:rsidR="00333AC0" w:rsidRPr="00AA6C46"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(mg/100 g dw)</w:t>
            </w:r>
          </w:p>
        </w:tc>
      </w:tr>
      <w:tr w:rsidR="00333AC0" w:rsidRPr="00A8343B" w14:paraId="20643CF3" w14:textId="77777777" w:rsidTr="00011A05">
        <w:trPr>
          <w:trHeight w:val="510"/>
        </w:trPr>
        <w:tc>
          <w:tcPr>
            <w:tcW w:w="1668" w:type="dxa"/>
            <w:shd w:val="clear" w:color="auto" w:fill="auto"/>
            <w:noWrap/>
            <w:vAlign w:val="center"/>
          </w:tcPr>
          <w:p w14:paraId="20643CE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Alanine</w:t>
            </w:r>
          </w:p>
        </w:tc>
        <w:tc>
          <w:tcPr>
            <w:tcW w:w="1843" w:type="dxa"/>
            <w:vAlign w:val="center"/>
          </w:tcPr>
          <w:p w14:paraId="20643CE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455.4</w:t>
            </w:r>
          </w:p>
          <w:p w14:paraId="20643CE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(329 - 625)</w:t>
            </w:r>
          </w:p>
        </w:tc>
        <w:tc>
          <w:tcPr>
            <w:tcW w:w="1842" w:type="dxa"/>
            <w:vAlign w:val="center"/>
          </w:tcPr>
          <w:p w14:paraId="20643CE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 xml:space="preserve">459.8 </w:t>
            </w:r>
          </w:p>
          <w:p w14:paraId="20643CF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(331 - 628)</w:t>
            </w:r>
          </w:p>
        </w:tc>
        <w:tc>
          <w:tcPr>
            <w:tcW w:w="1276" w:type="dxa"/>
            <w:vAlign w:val="center"/>
          </w:tcPr>
          <w:p w14:paraId="20643CF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0.7404</w:t>
            </w:r>
          </w:p>
        </w:tc>
        <w:tc>
          <w:tcPr>
            <w:tcW w:w="1701" w:type="dxa"/>
            <w:shd w:val="clear" w:color="auto" w:fill="auto"/>
            <w:noWrap/>
            <w:vAlign w:val="center"/>
          </w:tcPr>
          <w:p w14:paraId="20643CF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 xml:space="preserve">380 - 570 </w:t>
            </w:r>
          </w:p>
        </w:tc>
      </w:tr>
      <w:tr w:rsidR="00333AC0" w:rsidRPr="00A8343B" w14:paraId="20643CFB" w14:textId="77777777" w:rsidTr="00011A05">
        <w:trPr>
          <w:trHeight w:val="510"/>
        </w:trPr>
        <w:tc>
          <w:tcPr>
            <w:tcW w:w="1668" w:type="dxa"/>
            <w:shd w:val="clear" w:color="auto" w:fill="EAF1DD" w:themeFill="accent3" w:themeFillTint="33"/>
            <w:noWrap/>
            <w:vAlign w:val="center"/>
          </w:tcPr>
          <w:p w14:paraId="20643CF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Arginine</w:t>
            </w:r>
          </w:p>
        </w:tc>
        <w:tc>
          <w:tcPr>
            <w:tcW w:w="1843" w:type="dxa"/>
            <w:shd w:val="clear" w:color="auto" w:fill="EAF1DD" w:themeFill="accent3" w:themeFillTint="33"/>
            <w:vAlign w:val="center"/>
          </w:tcPr>
          <w:p w14:paraId="20643CF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 xml:space="preserve">563.8 </w:t>
            </w:r>
          </w:p>
          <w:p w14:paraId="20643CF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(409 - 737)</w:t>
            </w:r>
          </w:p>
        </w:tc>
        <w:tc>
          <w:tcPr>
            <w:tcW w:w="1842" w:type="dxa"/>
            <w:shd w:val="clear" w:color="auto" w:fill="EAF1DD" w:themeFill="accent3" w:themeFillTint="33"/>
            <w:vAlign w:val="center"/>
          </w:tcPr>
          <w:p w14:paraId="20643CF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564</w:t>
            </w:r>
          </w:p>
          <w:p w14:paraId="20643CF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(408 - 782)</w:t>
            </w:r>
          </w:p>
        </w:tc>
        <w:tc>
          <w:tcPr>
            <w:tcW w:w="1276" w:type="dxa"/>
            <w:shd w:val="clear" w:color="auto" w:fill="EAF1DD" w:themeFill="accent3" w:themeFillTint="33"/>
            <w:vAlign w:val="center"/>
          </w:tcPr>
          <w:p w14:paraId="20643CF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0.988</w:t>
            </w:r>
          </w:p>
        </w:tc>
        <w:tc>
          <w:tcPr>
            <w:tcW w:w="1701" w:type="dxa"/>
            <w:shd w:val="clear" w:color="auto" w:fill="EAF1DD" w:themeFill="accent3" w:themeFillTint="33"/>
            <w:noWrap/>
            <w:vAlign w:val="center"/>
          </w:tcPr>
          <w:p w14:paraId="20643CF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530 - 850</w:t>
            </w:r>
          </w:p>
        </w:tc>
      </w:tr>
      <w:tr w:rsidR="00333AC0" w:rsidRPr="00A8343B" w14:paraId="20643D03" w14:textId="77777777" w:rsidTr="00011A05">
        <w:trPr>
          <w:trHeight w:val="510"/>
        </w:trPr>
        <w:tc>
          <w:tcPr>
            <w:tcW w:w="1668" w:type="dxa"/>
            <w:shd w:val="clear" w:color="auto" w:fill="auto"/>
            <w:noWrap/>
            <w:vAlign w:val="center"/>
          </w:tcPr>
          <w:p w14:paraId="20643CF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Aspartate</w:t>
            </w:r>
          </w:p>
        </w:tc>
        <w:tc>
          <w:tcPr>
            <w:tcW w:w="1843" w:type="dxa"/>
            <w:shd w:val="clear" w:color="auto" w:fill="auto"/>
            <w:vAlign w:val="center"/>
          </w:tcPr>
          <w:p w14:paraId="20643CF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708.4</w:t>
            </w:r>
          </w:p>
          <w:p w14:paraId="20643CF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(493 - 1010)</w:t>
            </w:r>
          </w:p>
        </w:tc>
        <w:tc>
          <w:tcPr>
            <w:tcW w:w="1842" w:type="dxa"/>
            <w:shd w:val="clear" w:color="auto" w:fill="auto"/>
            <w:vAlign w:val="center"/>
          </w:tcPr>
          <w:p w14:paraId="20643CF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709.5</w:t>
            </w:r>
          </w:p>
          <w:p w14:paraId="20643D0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(497 - 994)</w:t>
            </w:r>
          </w:p>
        </w:tc>
        <w:tc>
          <w:tcPr>
            <w:tcW w:w="1276" w:type="dxa"/>
            <w:shd w:val="clear" w:color="auto" w:fill="auto"/>
            <w:vAlign w:val="center"/>
          </w:tcPr>
          <w:p w14:paraId="20643D0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0.9600</w:t>
            </w:r>
          </w:p>
        </w:tc>
        <w:tc>
          <w:tcPr>
            <w:tcW w:w="1701" w:type="dxa"/>
            <w:shd w:val="clear" w:color="auto" w:fill="auto"/>
            <w:noWrap/>
            <w:vAlign w:val="center"/>
          </w:tcPr>
          <w:p w14:paraId="20643D0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610 - 940</w:t>
            </w:r>
          </w:p>
        </w:tc>
      </w:tr>
      <w:tr w:rsidR="00333AC0" w:rsidRPr="00A8343B" w14:paraId="20643D0B" w14:textId="77777777" w:rsidTr="00011A05">
        <w:trPr>
          <w:trHeight w:val="510"/>
        </w:trPr>
        <w:tc>
          <w:tcPr>
            <w:tcW w:w="1668" w:type="dxa"/>
            <w:shd w:val="clear" w:color="auto" w:fill="EAF1DD" w:themeFill="accent3" w:themeFillTint="33"/>
            <w:noWrap/>
            <w:vAlign w:val="center"/>
          </w:tcPr>
          <w:p w14:paraId="20643D04" w14:textId="77777777" w:rsidR="00333AC0" w:rsidRPr="00A8343B" w:rsidRDefault="00333AC0" w:rsidP="00011A05">
            <w:pPr>
              <w:jc w:val="center"/>
              <w:rPr>
                <w:rFonts w:cs="Arial"/>
                <w:color w:val="000000" w:themeColor="text1"/>
                <w:sz w:val="20"/>
                <w:szCs w:val="20"/>
              </w:rPr>
            </w:pPr>
            <w:r>
              <w:rPr>
                <w:rFonts w:cs="Arial"/>
                <w:color w:val="000000" w:themeColor="text1"/>
                <w:sz w:val="20"/>
                <w:szCs w:val="20"/>
              </w:rPr>
              <w:t>Cyst</w:t>
            </w:r>
            <w:r w:rsidRPr="00A8343B">
              <w:rPr>
                <w:rFonts w:cs="Arial"/>
                <w:color w:val="000000" w:themeColor="text1"/>
                <w:sz w:val="20"/>
                <w:szCs w:val="20"/>
              </w:rPr>
              <w:t>eine</w:t>
            </w:r>
          </w:p>
        </w:tc>
        <w:tc>
          <w:tcPr>
            <w:tcW w:w="1843" w:type="dxa"/>
            <w:shd w:val="clear" w:color="auto" w:fill="EAF1DD" w:themeFill="accent3" w:themeFillTint="33"/>
            <w:vAlign w:val="center"/>
          </w:tcPr>
          <w:p w14:paraId="20643D0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156.3</w:t>
            </w:r>
          </w:p>
          <w:p w14:paraId="20643D06" w14:textId="77777777" w:rsidR="00333AC0" w:rsidRPr="00A8343B" w:rsidRDefault="00333AC0" w:rsidP="00011A05">
            <w:pPr>
              <w:jc w:val="center"/>
              <w:rPr>
                <w:rFonts w:cs="Arial"/>
                <w:color w:val="000000" w:themeColor="text1"/>
                <w:sz w:val="18"/>
                <w:szCs w:val="18"/>
                <w:vertAlign w:val="superscript"/>
              </w:rPr>
            </w:pPr>
            <w:r w:rsidRPr="00A8343B">
              <w:rPr>
                <w:rFonts w:cs="Arial"/>
                <w:color w:val="000000" w:themeColor="text1"/>
                <w:sz w:val="18"/>
                <w:szCs w:val="18"/>
              </w:rPr>
              <w:t>(117 - 214)</w:t>
            </w:r>
          </w:p>
        </w:tc>
        <w:tc>
          <w:tcPr>
            <w:tcW w:w="1842" w:type="dxa"/>
            <w:shd w:val="clear" w:color="auto" w:fill="EAF1DD" w:themeFill="accent3" w:themeFillTint="33"/>
            <w:vAlign w:val="center"/>
          </w:tcPr>
          <w:p w14:paraId="20643D0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155</w:t>
            </w:r>
          </w:p>
          <w:p w14:paraId="20643D0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(113 - 198)</w:t>
            </w:r>
          </w:p>
        </w:tc>
        <w:tc>
          <w:tcPr>
            <w:tcW w:w="1276" w:type="dxa"/>
            <w:shd w:val="clear" w:color="auto" w:fill="EAF1DD" w:themeFill="accent3" w:themeFillTint="33"/>
            <w:vAlign w:val="center"/>
          </w:tcPr>
          <w:p w14:paraId="20643D0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0.7671</w:t>
            </w:r>
          </w:p>
        </w:tc>
        <w:tc>
          <w:tcPr>
            <w:tcW w:w="1701" w:type="dxa"/>
            <w:shd w:val="clear" w:color="auto" w:fill="EAF1DD" w:themeFill="accent3" w:themeFillTint="33"/>
            <w:noWrap/>
            <w:vAlign w:val="center"/>
          </w:tcPr>
          <w:p w14:paraId="20643D0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100 - 260</w:t>
            </w:r>
          </w:p>
        </w:tc>
      </w:tr>
      <w:tr w:rsidR="00333AC0" w:rsidRPr="00A8343B" w14:paraId="20643D13" w14:textId="77777777" w:rsidTr="00011A05">
        <w:trPr>
          <w:trHeight w:val="510"/>
        </w:trPr>
        <w:tc>
          <w:tcPr>
            <w:tcW w:w="1668" w:type="dxa"/>
            <w:shd w:val="clear" w:color="auto" w:fill="auto"/>
            <w:noWrap/>
            <w:vAlign w:val="center"/>
          </w:tcPr>
          <w:p w14:paraId="20643D0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Glutamate</w:t>
            </w:r>
          </w:p>
        </w:tc>
        <w:tc>
          <w:tcPr>
            <w:tcW w:w="1843" w:type="dxa"/>
            <w:shd w:val="clear" w:color="auto" w:fill="auto"/>
            <w:vAlign w:val="center"/>
          </w:tcPr>
          <w:p w14:paraId="20643D0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1354</w:t>
            </w:r>
          </w:p>
          <w:p w14:paraId="20643D0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(942 - 1980)</w:t>
            </w:r>
          </w:p>
        </w:tc>
        <w:tc>
          <w:tcPr>
            <w:tcW w:w="1842" w:type="dxa"/>
            <w:shd w:val="clear" w:color="auto" w:fill="auto"/>
            <w:vAlign w:val="center"/>
          </w:tcPr>
          <w:p w14:paraId="20643D0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 xml:space="preserve">1360 </w:t>
            </w:r>
          </w:p>
          <w:p w14:paraId="20643D1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(890 - 1990)</w:t>
            </w:r>
          </w:p>
        </w:tc>
        <w:tc>
          <w:tcPr>
            <w:tcW w:w="1276" w:type="dxa"/>
            <w:shd w:val="clear" w:color="auto" w:fill="auto"/>
            <w:vAlign w:val="center"/>
          </w:tcPr>
          <w:p w14:paraId="20643D1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0.8975</w:t>
            </w:r>
          </w:p>
        </w:tc>
        <w:tc>
          <w:tcPr>
            <w:tcW w:w="1701" w:type="dxa"/>
            <w:shd w:val="clear" w:color="auto" w:fill="auto"/>
            <w:noWrap/>
            <w:vAlign w:val="center"/>
          </w:tcPr>
          <w:p w14:paraId="20643D1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1100 - 1740</w:t>
            </w:r>
          </w:p>
        </w:tc>
      </w:tr>
      <w:tr w:rsidR="00333AC0" w:rsidRPr="00A8343B" w14:paraId="20643D1B" w14:textId="77777777" w:rsidTr="00011A05">
        <w:trPr>
          <w:trHeight w:val="510"/>
        </w:trPr>
        <w:tc>
          <w:tcPr>
            <w:tcW w:w="1668" w:type="dxa"/>
            <w:shd w:val="clear" w:color="auto" w:fill="EAF1DD" w:themeFill="accent3" w:themeFillTint="33"/>
            <w:noWrap/>
            <w:vAlign w:val="center"/>
          </w:tcPr>
          <w:p w14:paraId="20643D1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Glycine</w:t>
            </w:r>
          </w:p>
        </w:tc>
        <w:tc>
          <w:tcPr>
            <w:tcW w:w="1843" w:type="dxa"/>
            <w:shd w:val="clear" w:color="auto" w:fill="EAF1DD" w:themeFill="accent3" w:themeFillTint="33"/>
            <w:vAlign w:val="center"/>
          </w:tcPr>
          <w:p w14:paraId="20643D1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388.7</w:t>
            </w:r>
          </w:p>
          <w:p w14:paraId="20643D1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(293 - 495)</w:t>
            </w:r>
          </w:p>
        </w:tc>
        <w:tc>
          <w:tcPr>
            <w:tcW w:w="1842" w:type="dxa"/>
            <w:shd w:val="clear" w:color="auto" w:fill="EAF1DD" w:themeFill="accent3" w:themeFillTint="33"/>
            <w:vAlign w:val="center"/>
          </w:tcPr>
          <w:p w14:paraId="20643D1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392.5</w:t>
            </w:r>
          </w:p>
          <w:p w14:paraId="20643D1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(292 - 511)</w:t>
            </w:r>
          </w:p>
        </w:tc>
        <w:tc>
          <w:tcPr>
            <w:tcW w:w="1276" w:type="dxa"/>
            <w:shd w:val="clear" w:color="auto" w:fill="EAF1DD" w:themeFill="accent3" w:themeFillTint="33"/>
            <w:vAlign w:val="center"/>
          </w:tcPr>
          <w:p w14:paraId="20643D1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0.7161</w:t>
            </w:r>
          </w:p>
        </w:tc>
        <w:tc>
          <w:tcPr>
            <w:tcW w:w="1701" w:type="dxa"/>
            <w:shd w:val="clear" w:color="auto" w:fill="EAF1DD" w:themeFill="accent3" w:themeFillTint="33"/>
            <w:noWrap/>
            <w:vAlign w:val="center"/>
          </w:tcPr>
          <w:p w14:paraId="20643D1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340 - 480</w:t>
            </w:r>
          </w:p>
        </w:tc>
      </w:tr>
      <w:tr w:rsidR="00333AC0" w:rsidRPr="00A8343B" w14:paraId="20643D23" w14:textId="77777777" w:rsidTr="00011A05">
        <w:trPr>
          <w:trHeight w:val="510"/>
        </w:trPr>
        <w:tc>
          <w:tcPr>
            <w:tcW w:w="1668" w:type="dxa"/>
            <w:shd w:val="clear" w:color="auto" w:fill="auto"/>
            <w:noWrap/>
            <w:vAlign w:val="center"/>
          </w:tcPr>
          <w:p w14:paraId="20643D1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Histidine</w:t>
            </w:r>
          </w:p>
        </w:tc>
        <w:tc>
          <w:tcPr>
            <w:tcW w:w="1843" w:type="dxa"/>
            <w:shd w:val="clear" w:color="auto" w:fill="auto"/>
            <w:vAlign w:val="center"/>
          </w:tcPr>
          <w:p w14:paraId="20643D1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211.8</w:t>
            </w:r>
          </w:p>
          <w:p w14:paraId="20643D1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(162 - 276)</w:t>
            </w:r>
          </w:p>
        </w:tc>
        <w:tc>
          <w:tcPr>
            <w:tcW w:w="1842" w:type="dxa"/>
            <w:shd w:val="clear" w:color="auto" w:fill="auto"/>
            <w:vAlign w:val="center"/>
          </w:tcPr>
          <w:p w14:paraId="20643D1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214.5</w:t>
            </w:r>
          </w:p>
          <w:p w14:paraId="20643D2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(157 - 281)</w:t>
            </w:r>
          </w:p>
        </w:tc>
        <w:tc>
          <w:tcPr>
            <w:tcW w:w="1276" w:type="dxa"/>
            <w:shd w:val="clear" w:color="auto" w:fill="auto"/>
            <w:vAlign w:val="center"/>
          </w:tcPr>
          <w:p w14:paraId="20643D2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0.6593</w:t>
            </w:r>
          </w:p>
        </w:tc>
        <w:tc>
          <w:tcPr>
            <w:tcW w:w="1701" w:type="dxa"/>
            <w:shd w:val="clear" w:color="auto" w:fill="auto"/>
            <w:noWrap/>
            <w:vAlign w:val="center"/>
          </w:tcPr>
          <w:p w14:paraId="20643D2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140 - 250</w:t>
            </w:r>
          </w:p>
        </w:tc>
      </w:tr>
      <w:tr w:rsidR="00333AC0" w:rsidRPr="00A8343B" w14:paraId="20643D2B" w14:textId="77777777" w:rsidTr="00011A05">
        <w:trPr>
          <w:trHeight w:val="510"/>
        </w:trPr>
        <w:tc>
          <w:tcPr>
            <w:tcW w:w="1668" w:type="dxa"/>
            <w:shd w:val="clear" w:color="auto" w:fill="EAF1DD" w:themeFill="accent3" w:themeFillTint="33"/>
            <w:noWrap/>
            <w:vAlign w:val="center"/>
          </w:tcPr>
          <w:p w14:paraId="20643D2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Isoleucine</w:t>
            </w:r>
          </w:p>
        </w:tc>
        <w:tc>
          <w:tcPr>
            <w:tcW w:w="1843" w:type="dxa"/>
            <w:shd w:val="clear" w:color="auto" w:fill="EAF1DD" w:themeFill="accent3" w:themeFillTint="33"/>
            <w:vAlign w:val="center"/>
          </w:tcPr>
          <w:p w14:paraId="20643D2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329.2</w:t>
            </w:r>
          </w:p>
          <w:p w14:paraId="20643D2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(241 - 446)</w:t>
            </w:r>
          </w:p>
        </w:tc>
        <w:tc>
          <w:tcPr>
            <w:tcW w:w="1842" w:type="dxa"/>
            <w:shd w:val="clear" w:color="auto" w:fill="EAF1DD" w:themeFill="accent3" w:themeFillTint="33"/>
            <w:vAlign w:val="center"/>
          </w:tcPr>
          <w:p w14:paraId="20643D2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331.9</w:t>
            </w:r>
          </w:p>
          <w:p w14:paraId="20643D2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(237 - 464)</w:t>
            </w:r>
          </w:p>
        </w:tc>
        <w:tc>
          <w:tcPr>
            <w:tcW w:w="1276" w:type="dxa"/>
            <w:shd w:val="clear" w:color="auto" w:fill="EAF1DD" w:themeFill="accent3" w:themeFillTint="33"/>
            <w:vAlign w:val="center"/>
          </w:tcPr>
          <w:p w14:paraId="20643D2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0.7871</w:t>
            </w:r>
          </w:p>
        </w:tc>
        <w:tc>
          <w:tcPr>
            <w:tcW w:w="1701" w:type="dxa"/>
            <w:shd w:val="clear" w:color="auto" w:fill="EAF1DD" w:themeFill="accent3" w:themeFillTint="33"/>
            <w:noWrap/>
            <w:vAlign w:val="center"/>
          </w:tcPr>
          <w:p w14:paraId="20643D2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270 - 430</w:t>
            </w:r>
          </w:p>
        </w:tc>
      </w:tr>
      <w:tr w:rsidR="00333AC0" w:rsidRPr="00A8343B" w14:paraId="20643D33" w14:textId="77777777" w:rsidTr="00011A05">
        <w:trPr>
          <w:trHeight w:val="510"/>
        </w:trPr>
        <w:tc>
          <w:tcPr>
            <w:tcW w:w="1668" w:type="dxa"/>
            <w:tcBorders>
              <w:bottom w:val="single" w:sz="4" w:space="0" w:color="auto"/>
            </w:tcBorders>
            <w:shd w:val="clear" w:color="auto" w:fill="auto"/>
            <w:noWrap/>
            <w:vAlign w:val="center"/>
          </w:tcPr>
          <w:p w14:paraId="20643D2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Leucine</w:t>
            </w:r>
          </w:p>
        </w:tc>
        <w:tc>
          <w:tcPr>
            <w:tcW w:w="1843" w:type="dxa"/>
            <w:tcBorders>
              <w:bottom w:val="single" w:sz="4" w:space="0" w:color="auto"/>
            </w:tcBorders>
            <w:shd w:val="clear" w:color="auto" w:fill="auto"/>
            <w:vAlign w:val="center"/>
          </w:tcPr>
          <w:p w14:paraId="20643D2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643.6</w:t>
            </w:r>
          </w:p>
          <w:p w14:paraId="20643D2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(464 - 886)</w:t>
            </w:r>
          </w:p>
        </w:tc>
        <w:tc>
          <w:tcPr>
            <w:tcW w:w="1842" w:type="dxa"/>
            <w:tcBorders>
              <w:bottom w:val="single" w:sz="4" w:space="0" w:color="auto"/>
            </w:tcBorders>
            <w:shd w:val="clear" w:color="auto" w:fill="auto"/>
            <w:vAlign w:val="center"/>
          </w:tcPr>
          <w:p w14:paraId="20643D2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650.5</w:t>
            </w:r>
          </w:p>
          <w:p w14:paraId="20643D3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(462 - 921)</w:t>
            </w:r>
          </w:p>
        </w:tc>
        <w:tc>
          <w:tcPr>
            <w:tcW w:w="1276" w:type="dxa"/>
            <w:tcBorders>
              <w:bottom w:val="single" w:sz="4" w:space="0" w:color="auto"/>
            </w:tcBorders>
            <w:shd w:val="clear" w:color="auto" w:fill="auto"/>
            <w:vAlign w:val="center"/>
          </w:tcPr>
          <w:p w14:paraId="20643D3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0.743</w:t>
            </w:r>
          </w:p>
        </w:tc>
        <w:tc>
          <w:tcPr>
            <w:tcW w:w="1701" w:type="dxa"/>
            <w:tcBorders>
              <w:bottom w:val="single" w:sz="4" w:space="0" w:color="auto"/>
            </w:tcBorders>
            <w:shd w:val="clear" w:color="auto" w:fill="auto"/>
            <w:noWrap/>
            <w:vAlign w:val="center"/>
          </w:tcPr>
          <w:p w14:paraId="20643D3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550 - 780</w:t>
            </w:r>
          </w:p>
        </w:tc>
      </w:tr>
      <w:tr w:rsidR="00333AC0" w:rsidRPr="00A8343B" w14:paraId="20643D3B" w14:textId="77777777" w:rsidTr="00011A05">
        <w:trPr>
          <w:trHeight w:val="510"/>
        </w:trPr>
        <w:tc>
          <w:tcPr>
            <w:tcW w:w="1668" w:type="dxa"/>
            <w:tcBorders>
              <w:bottom w:val="single" w:sz="4" w:space="0" w:color="auto"/>
            </w:tcBorders>
            <w:shd w:val="clear" w:color="auto" w:fill="EAF1DD" w:themeFill="accent3" w:themeFillTint="33"/>
            <w:noWrap/>
            <w:vAlign w:val="center"/>
          </w:tcPr>
          <w:p w14:paraId="20643D3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Lysine</w:t>
            </w:r>
          </w:p>
        </w:tc>
        <w:tc>
          <w:tcPr>
            <w:tcW w:w="1843" w:type="dxa"/>
            <w:tcBorders>
              <w:bottom w:val="single" w:sz="4" w:space="0" w:color="auto"/>
            </w:tcBorders>
            <w:shd w:val="clear" w:color="auto" w:fill="EAF1DD" w:themeFill="accent3" w:themeFillTint="33"/>
            <w:vAlign w:val="center"/>
          </w:tcPr>
          <w:p w14:paraId="20643D3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298.6</w:t>
            </w:r>
          </w:p>
          <w:p w14:paraId="20643D3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(216 - 443)</w:t>
            </w:r>
          </w:p>
        </w:tc>
        <w:tc>
          <w:tcPr>
            <w:tcW w:w="1842" w:type="dxa"/>
            <w:tcBorders>
              <w:bottom w:val="single" w:sz="4" w:space="0" w:color="auto"/>
            </w:tcBorders>
            <w:shd w:val="clear" w:color="auto" w:fill="EAF1DD" w:themeFill="accent3" w:themeFillTint="33"/>
            <w:vAlign w:val="center"/>
          </w:tcPr>
          <w:p w14:paraId="20643D3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294.4</w:t>
            </w:r>
          </w:p>
          <w:p w14:paraId="20643D3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(211 - 434)</w:t>
            </w:r>
          </w:p>
        </w:tc>
        <w:tc>
          <w:tcPr>
            <w:tcW w:w="1276" w:type="dxa"/>
            <w:tcBorders>
              <w:bottom w:val="single" w:sz="4" w:space="0" w:color="auto"/>
            </w:tcBorders>
            <w:shd w:val="clear" w:color="auto" w:fill="EAF1DD" w:themeFill="accent3" w:themeFillTint="33"/>
            <w:vAlign w:val="center"/>
          </w:tcPr>
          <w:p w14:paraId="20643D3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0.7111</w:t>
            </w:r>
          </w:p>
        </w:tc>
        <w:tc>
          <w:tcPr>
            <w:tcW w:w="1701" w:type="dxa"/>
            <w:tcBorders>
              <w:bottom w:val="single" w:sz="4" w:space="0" w:color="auto"/>
            </w:tcBorders>
            <w:shd w:val="clear" w:color="auto" w:fill="EAF1DD" w:themeFill="accent3" w:themeFillTint="33"/>
            <w:noWrap/>
            <w:vAlign w:val="center"/>
          </w:tcPr>
          <w:p w14:paraId="20643D3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280 - 420</w:t>
            </w:r>
          </w:p>
        </w:tc>
      </w:tr>
      <w:tr w:rsidR="00333AC0" w:rsidRPr="00A8343B" w14:paraId="20643D43" w14:textId="77777777" w:rsidTr="00011A05">
        <w:trPr>
          <w:trHeight w:val="510"/>
        </w:trPr>
        <w:tc>
          <w:tcPr>
            <w:tcW w:w="1668" w:type="dxa"/>
            <w:shd w:val="clear" w:color="auto" w:fill="auto"/>
            <w:noWrap/>
            <w:vAlign w:val="center"/>
          </w:tcPr>
          <w:p w14:paraId="20643D3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Methionine</w:t>
            </w:r>
          </w:p>
        </w:tc>
        <w:tc>
          <w:tcPr>
            <w:tcW w:w="1843" w:type="dxa"/>
            <w:vAlign w:val="center"/>
          </w:tcPr>
          <w:p w14:paraId="20643D3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169.2</w:t>
            </w:r>
          </w:p>
          <w:p w14:paraId="20643D3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(124 - 228)</w:t>
            </w:r>
          </w:p>
        </w:tc>
        <w:tc>
          <w:tcPr>
            <w:tcW w:w="1842" w:type="dxa"/>
            <w:shd w:val="clear" w:color="auto" w:fill="auto"/>
            <w:vAlign w:val="center"/>
          </w:tcPr>
          <w:p w14:paraId="20643D3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166.2</w:t>
            </w:r>
          </w:p>
          <w:p w14:paraId="20643D40" w14:textId="77777777" w:rsidR="00333AC0" w:rsidRPr="00A8343B" w:rsidRDefault="00333AC0" w:rsidP="00011A05">
            <w:pPr>
              <w:jc w:val="center"/>
              <w:rPr>
                <w:rFonts w:cs="Arial"/>
                <w:color w:val="000000" w:themeColor="text1"/>
                <w:sz w:val="18"/>
                <w:szCs w:val="18"/>
                <w:vertAlign w:val="superscript"/>
              </w:rPr>
            </w:pPr>
            <w:r w:rsidRPr="00A8343B">
              <w:rPr>
                <w:rFonts w:cs="Arial"/>
                <w:color w:val="000000" w:themeColor="text1"/>
                <w:sz w:val="18"/>
                <w:szCs w:val="18"/>
              </w:rPr>
              <w:t>(127 - 215)</w:t>
            </w:r>
          </w:p>
        </w:tc>
        <w:tc>
          <w:tcPr>
            <w:tcW w:w="1276" w:type="dxa"/>
            <w:shd w:val="clear" w:color="auto" w:fill="auto"/>
            <w:vAlign w:val="center"/>
          </w:tcPr>
          <w:p w14:paraId="20643D41" w14:textId="77777777" w:rsidR="00333AC0" w:rsidRPr="00A8343B" w:rsidRDefault="00333AC0" w:rsidP="00011A05">
            <w:pPr>
              <w:jc w:val="center"/>
              <w:rPr>
                <w:rFonts w:cs="Arial"/>
                <w:color w:val="000000" w:themeColor="text1"/>
                <w:sz w:val="18"/>
                <w:szCs w:val="18"/>
                <w:vertAlign w:val="superscript"/>
              </w:rPr>
            </w:pPr>
            <w:r w:rsidRPr="00A8343B">
              <w:rPr>
                <w:rFonts w:cs="Arial"/>
                <w:color w:val="000000" w:themeColor="text1"/>
                <w:sz w:val="18"/>
                <w:szCs w:val="18"/>
              </w:rPr>
              <w:t>0.6019</w:t>
            </w:r>
          </w:p>
        </w:tc>
        <w:tc>
          <w:tcPr>
            <w:tcW w:w="1701" w:type="dxa"/>
            <w:shd w:val="clear" w:color="auto" w:fill="auto"/>
            <w:noWrap/>
            <w:vAlign w:val="center"/>
          </w:tcPr>
          <w:p w14:paraId="20643D4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140 – 310</w:t>
            </w:r>
          </w:p>
        </w:tc>
      </w:tr>
      <w:tr w:rsidR="00333AC0" w:rsidRPr="00A8343B" w14:paraId="20643D4B" w14:textId="77777777" w:rsidTr="00011A05">
        <w:trPr>
          <w:trHeight w:val="510"/>
        </w:trPr>
        <w:tc>
          <w:tcPr>
            <w:tcW w:w="1668" w:type="dxa"/>
            <w:shd w:val="clear" w:color="auto" w:fill="EAF1DD" w:themeFill="accent3" w:themeFillTint="33"/>
            <w:noWrap/>
            <w:vAlign w:val="center"/>
          </w:tcPr>
          <w:p w14:paraId="20643D4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Phenylalanine</w:t>
            </w:r>
          </w:p>
        </w:tc>
        <w:tc>
          <w:tcPr>
            <w:tcW w:w="1843" w:type="dxa"/>
            <w:shd w:val="clear" w:color="auto" w:fill="EAF1DD" w:themeFill="accent3" w:themeFillTint="33"/>
            <w:vAlign w:val="center"/>
          </w:tcPr>
          <w:p w14:paraId="20643D4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439.8</w:t>
            </w:r>
          </w:p>
          <w:p w14:paraId="20643D4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(324 – 593)</w:t>
            </w:r>
          </w:p>
        </w:tc>
        <w:tc>
          <w:tcPr>
            <w:tcW w:w="1842" w:type="dxa"/>
            <w:shd w:val="clear" w:color="auto" w:fill="EAF1DD" w:themeFill="accent3" w:themeFillTint="33"/>
            <w:vAlign w:val="center"/>
          </w:tcPr>
          <w:p w14:paraId="20643D4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443.5</w:t>
            </w:r>
          </w:p>
          <w:p w14:paraId="20643D4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(317 – 622)</w:t>
            </w:r>
          </w:p>
        </w:tc>
        <w:tc>
          <w:tcPr>
            <w:tcW w:w="1276" w:type="dxa"/>
            <w:shd w:val="clear" w:color="auto" w:fill="EAF1DD" w:themeFill="accent3" w:themeFillTint="33"/>
            <w:vAlign w:val="center"/>
          </w:tcPr>
          <w:p w14:paraId="20643D4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0.7992</w:t>
            </w:r>
          </w:p>
        </w:tc>
        <w:tc>
          <w:tcPr>
            <w:tcW w:w="1701" w:type="dxa"/>
            <w:shd w:val="clear" w:color="auto" w:fill="EAF1DD" w:themeFill="accent3" w:themeFillTint="33"/>
            <w:noWrap/>
            <w:vAlign w:val="center"/>
          </w:tcPr>
          <w:p w14:paraId="20643D4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280 - 520</w:t>
            </w:r>
          </w:p>
        </w:tc>
      </w:tr>
      <w:tr w:rsidR="00333AC0" w:rsidRPr="00A8343B" w14:paraId="20643D53" w14:textId="77777777" w:rsidTr="00011A05">
        <w:trPr>
          <w:trHeight w:val="510"/>
        </w:trPr>
        <w:tc>
          <w:tcPr>
            <w:tcW w:w="1668" w:type="dxa"/>
            <w:shd w:val="clear" w:color="auto" w:fill="auto"/>
            <w:noWrap/>
            <w:vAlign w:val="center"/>
          </w:tcPr>
          <w:p w14:paraId="20643D4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Proline</w:t>
            </w:r>
          </w:p>
        </w:tc>
        <w:tc>
          <w:tcPr>
            <w:tcW w:w="1843" w:type="dxa"/>
            <w:vAlign w:val="center"/>
          </w:tcPr>
          <w:p w14:paraId="20643D4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376.4</w:t>
            </w:r>
          </w:p>
          <w:p w14:paraId="20643D4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(276 – 510)</w:t>
            </w:r>
          </w:p>
        </w:tc>
        <w:tc>
          <w:tcPr>
            <w:tcW w:w="1842" w:type="dxa"/>
            <w:shd w:val="clear" w:color="auto" w:fill="auto"/>
            <w:vAlign w:val="center"/>
          </w:tcPr>
          <w:p w14:paraId="20643D4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380.9</w:t>
            </w:r>
          </w:p>
          <w:p w14:paraId="20643D5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(278 – 521)</w:t>
            </w:r>
          </w:p>
        </w:tc>
        <w:tc>
          <w:tcPr>
            <w:tcW w:w="1276" w:type="dxa"/>
            <w:shd w:val="clear" w:color="auto" w:fill="auto"/>
            <w:vAlign w:val="center"/>
          </w:tcPr>
          <w:p w14:paraId="20643D5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0.6777</w:t>
            </w:r>
          </w:p>
        </w:tc>
        <w:tc>
          <w:tcPr>
            <w:tcW w:w="1701" w:type="dxa"/>
            <w:shd w:val="clear" w:color="auto" w:fill="auto"/>
            <w:noWrap/>
            <w:vAlign w:val="center"/>
          </w:tcPr>
          <w:p w14:paraId="20643D5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290 - 540</w:t>
            </w:r>
          </w:p>
        </w:tc>
      </w:tr>
      <w:tr w:rsidR="00333AC0" w:rsidRPr="00A8343B" w14:paraId="20643D5B" w14:textId="77777777" w:rsidTr="00011A05">
        <w:trPr>
          <w:trHeight w:val="510"/>
        </w:trPr>
        <w:tc>
          <w:tcPr>
            <w:tcW w:w="1668" w:type="dxa"/>
            <w:shd w:val="clear" w:color="auto" w:fill="EAF1DD" w:themeFill="accent3" w:themeFillTint="33"/>
            <w:noWrap/>
            <w:vAlign w:val="center"/>
          </w:tcPr>
          <w:p w14:paraId="20643D5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Serine</w:t>
            </w:r>
          </w:p>
        </w:tc>
        <w:tc>
          <w:tcPr>
            <w:tcW w:w="1843" w:type="dxa"/>
            <w:shd w:val="clear" w:color="auto" w:fill="EAF1DD" w:themeFill="accent3" w:themeFillTint="33"/>
            <w:vAlign w:val="center"/>
          </w:tcPr>
          <w:p w14:paraId="20643D5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400.6</w:t>
            </w:r>
          </w:p>
          <w:p w14:paraId="20643D5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(296 – 540)</w:t>
            </w:r>
          </w:p>
        </w:tc>
        <w:tc>
          <w:tcPr>
            <w:tcW w:w="1842" w:type="dxa"/>
            <w:shd w:val="clear" w:color="auto" w:fill="EAF1DD" w:themeFill="accent3" w:themeFillTint="33"/>
            <w:vAlign w:val="center"/>
          </w:tcPr>
          <w:p w14:paraId="20643D5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400.5</w:t>
            </w:r>
          </w:p>
          <w:p w14:paraId="20643D5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(231 – 556)</w:t>
            </w:r>
          </w:p>
        </w:tc>
        <w:tc>
          <w:tcPr>
            <w:tcW w:w="1276" w:type="dxa"/>
            <w:shd w:val="clear" w:color="auto" w:fill="EAF1DD" w:themeFill="accent3" w:themeFillTint="33"/>
            <w:vAlign w:val="center"/>
          </w:tcPr>
          <w:p w14:paraId="20643D5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0.9975</w:t>
            </w:r>
          </w:p>
        </w:tc>
        <w:tc>
          <w:tcPr>
            <w:tcW w:w="1701" w:type="dxa"/>
            <w:shd w:val="clear" w:color="auto" w:fill="EAF1DD" w:themeFill="accent3" w:themeFillTint="33"/>
            <w:noWrap/>
            <w:vAlign w:val="center"/>
          </w:tcPr>
          <w:p w14:paraId="20643D5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360 - 510</w:t>
            </w:r>
          </w:p>
        </w:tc>
      </w:tr>
      <w:tr w:rsidR="00333AC0" w:rsidRPr="00A8343B" w14:paraId="20643D63" w14:textId="77777777" w:rsidTr="00011A05">
        <w:trPr>
          <w:trHeight w:val="510"/>
        </w:trPr>
        <w:tc>
          <w:tcPr>
            <w:tcW w:w="1668" w:type="dxa"/>
            <w:shd w:val="clear" w:color="auto" w:fill="auto"/>
            <w:noWrap/>
            <w:vAlign w:val="center"/>
          </w:tcPr>
          <w:p w14:paraId="20643D5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Threonine</w:t>
            </w:r>
          </w:p>
        </w:tc>
        <w:tc>
          <w:tcPr>
            <w:tcW w:w="1843" w:type="dxa"/>
            <w:vAlign w:val="center"/>
          </w:tcPr>
          <w:p w14:paraId="20643D5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308.8</w:t>
            </w:r>
          </w:p>
          <w:p w14:paraId="20643D5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(235 – 400)</w:t>
            </w:r>
          </w:p>
        </w:tc>
        <w:tc>
          <w:tcPr>
            <w:tcW w:w="1842" w:type="dxa"/>
            <w:shd w:val="clear" w:color="auto" w:fill="auto"/>
            <w:vAlign w:val="center"/>
          </w:tcPr>
          <w:p w14:paraId="20643D5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308.2</w:t>
            </w:r>
          </w:p>
          <w:p w14:paraId="20643D6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(217 – 409)</w:t>
            </w:r>
          </w:p>
        </w:tc>
        <w:tc>
          <w:tcPr>
            <w:tcW w:w="1276" w:type="dxa"/>
            <w:shd w:val="clear" w:color="auto" w:fill="auto"/>
            <w:vAlign w:val="center"/>
          </w:tcPr>
          <w:p w14:paraId="20643D6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0.9416</w:t>
            </w:r>
          </w:p>
        </w:tc>
        <w:tc>
          <w:tcPr>
            <w:tcW w:w="1701" w:type="dxa"/>
            <w:shd w:val="clear" w:color="auto" w:fill="auto"/>
            <w:noWrap/>
            <w:vAlign w:val="center"/>
          </w:tcPr>
          <w:p w14:paraId="20643D6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270 - 410</w:t>
            </w:r>
          </w:p>
        </w:tc>
      </w:tr>
      <w:tr w:rsidR="00333AC0" w:rsidRPr="00A8343B" w14:paraId="20643D6B" w14:textId="77777777" w:rsidTr="00011A05">
        <w:trPr>
          <w:trHeight w:val="510"/>
        </w:trPr>
        <w:tc>
          <w:tcPr>
            <w:tcW w:w="1668" w:type="dxa"/>
            <w:shd w:val="clear" w:color="auto" w:fill="EAF1DD" w:themeFill="accent3" w:themeFillTint="33"/>
            <w:noWrap/>
            <w:vAlign w:val="center"/>
          </w:tcPr>
          <w:p w14:paraId="20643D6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Tryptophan</w:t>
            </w:r>
          </w:p>
        </w:tc>
        <w:tc>
          <w:tcPr>
            <w:tcW w:w="1843" w:type="dxa"/>
            <w:shd w:val="clear" w:color="auto" w:fill="EAF1DD" w:themeFill="accent3" w:themeFillTint="33"/>
            <w:vAlign w:val="center"/>
          </w:tcPr>
          <w:p w14:paraId="20643D6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73.36</w:t>
            </w:r>
          </w:p>
          <w:p w14:paraId="20643D6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(44.2 – 107)</w:t>
            </w:r>
          </w:p>
        </w:tc>
        <w:tc>
          <w:tcPr>
            <w:tcW w:w="1842" w:type="dxa"/>
            <w:shd w:val="clear" w:color="auto" w:fill="EAF1DD" w:themeFill="accent3" w:themeFillTint="33"/>
            <w:vAlign w:val="center"/>
          </w:tcPr>
          <w:p w14:paraId="20643D6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 xml:space="preserve">74.93 </w:t>
            </w:r>
          </w:p>
          <w:p w14:paraId="20643D6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(50.9 – 101)</w:t>
            </w:r>
          </w:p>
        </w:tc>
        <w:tc>
          <w:tcPr>
            <w:tcW w:w="1276" w:type="dxa"/>
            <w:shd w:val="clear" w:color="auto" w:fill="EAF1DD" w:themeFill="accent3" w:themeFillTint="33"/>
            <w:vAlign w:val="center"/>
          </w:tcPr>
          <w:p w14:paraId="20643D6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0.7954</w:t>
            </w:r>
          </w:p>
        </w:tc>
        <w:tc>
          <w:tcPr>
            <w:tcW w:w="1701" w:type="dxa"/>
            <w:shd w:val="clear" w:color="auto" w:fill="EAF1DD" w:themeFill="accent3" w:themeFillTint="33"/>
            <w:noWrap/>
            <w:vAlign w:val="center"/>
          </w:tcPr>
          <w:p w14:paraId="20643D6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90 - 180</w:t>
            </w:r>
          </w:p>
        </w:tc>
      </w:tr>
      <w:tr w:rsidR="00333AC0" w:rsidRPr="00A8343B" w14:paraId="20643D73" w14:textId="77777777" w:rsidTr="00011A05">
        <w:trPr>
          <w:trHeight w:val="510"/>
        </w:trPr>
        <w:tc>
          <w:tcPr>
            <w:tcW w:w="1668" w:type="dxa"/>
            <w:shd w:val="clear" w:color="auto" w:fill="auto"/>
            <w:noWrap/>
            <w:vAlign w:val="center"/>
          </w:tcPr>
          <w:p w14:paraId="20643D6C"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Tyrosine</w:t>
            </w:r>
          </w:p>
        </w:tc>
        <w:tc>
          <w:tcPr>
            <w:tcW w:w="1843" w:type="dxa"/>
            <w:vAlign w:val="center"/>
          </w:tcPr>
          <w:p w14:paraId="20643D6D"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213.5</w:t>
            </w:r>
          </w:p>
          <w:p w14:paraId="20643D6E"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(158 -282)</w:t>
            </w:r>
          </w:p>
        </w:tc>
        <w:tc>
          <w:tcPr>
            <w:tcW w:w="1842" w:type="dxa"/>
            <w:shd w:val="clear" w:color="auto" w:fill="auto"/>
            <w:vAlign w:val="center"/>
          </w:tcPr>
          <w:p w14:paraId="20643D6F"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206.7</w:t>
            </w:r>
          </w:p>
          <w:p w14:paraId="20643D70"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(133 – 291)</w:t>
            </w:r>
          </w:p>
        </w:tc>
        <w:tc>
          <w:tcPr>
            <w:tcW w:w="1276" w:type="dxa"/>
            <w:shd w:val="clear" w:color="auto" w:fill="auto"/>
            <w:vAlign w:val="center"/>
          </w:tcPr>
          <w:p w14:paraId="20643D71"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0.5314</w:t>
            </w:r>
          </w:p>
        </w:tc>
        <w:tc>
          <w:tcPr>
            <w:tcW w:w="1701" w:type="dxa"/>
            <w:shd w:val="clear" w:color="auto" w:fill="auto"/>
            <w:noWrap/>
            <w:vAlign w:val="center"/>
          </w:tcPr>
          <w:p w14:paraId="20643D72"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130 - 480</w:t>
            </w:r>
          </w:p>
        </w:tc>
      </w:tr>
      <w:tr w:rsidR="00333AC0" w:rsidRPr="00A8343B" w14:paraId="20643D7B" w14:textId="77777777" w:rsidTr="00011A05">
        <w:trPr>
          <w:trHeight w:val="510"/>
        </w:trPr>
        <w:tc>
          <w:tcPr>
            <w:tcW w:w="1668" w:type="dxa"/>
            <w:tcBorders>
              <w:bottom w:val="single" w:sz="4" w:space="0" w:color="auto"/>
            </w:tcBorders>
            <w:shd w:val="clear" w:color="auto" w:fill="EAF1DD" w:themeFill="accent3" w:themeFillTint="33"/>
            <w:noWrap/>
            <w:vAlign w:val="center"/>
          </w:tcPr>
          <w:p w14:paraId="20643D74" w14:textId="77777777" w:rsidR="00333AC0" w:rsidRPr="00A8343B" w:rsidRDefault="00333AC0" w:rsidP="00011A05">
            <w:pPr>
              <w:jc w:val="center"/>
              <w:rPr>
                <w:rFonts w:cs="Arial"/>
                <w:color w:val="000000" w:themeColor="text1"/>
                <w:sz w:val="20"/>
                <w:szCs w:val="20"/>
              </w:rPr>
            </w:pPr>
            <w:r w:rsidRPr="00A8343B">
              <w:rPr>
                <w:rFonts w:cs="Arial"/>
                <w:color w:val="000000" w:themeColor="text1"/>
                <w:sz w:val="20"/>
                <w:szCs w:val="20"/>
              </w:rPr>
              <w:t>Valine</w:t>
            </w:r>
          </w:p>
        </w:tc>
        <w:tc>
          <w:tcPr>
            <w:tcW w:w="1843" w:type="dxa"/>
            <w:tcBorders>
              <w:bottom w:val="single" w:sz="4" w:space="0" w:color="auto"/>
            </w:tcBorders>
            <w:shd w:val="clear" w:color="auto" w:fill="EAF1DD" w:themeFill="accent3" w:themeFillTint="33"/>
            <w:vAlign w:val="center"/>
          </w:tcPr>
          <w:p w14:paraId="20643D75"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468.2</w:t>
            </w:r>
          </w:p>
          <w:p w14:paraId="20643D76"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(341 – 627)</w:t>
            </w:r>
          </w:p>
        </w:tc>
        <w:tc>
          <w:tcPr>
            <w:tcW w:w="1842" w:type="dxa"/>
            <w:tcBorders>
              <w:bottom w:val="single" w:sz="4" w:space="0" w:color="auto"/>
            </w:tcBorders>
            <w:shd w:val="clear" w:color="auto" w:fill="EAF1DD" w:themeFill="accent3" w:themeFillTint="33"/>
            <w:vAlign w:val="center"/>
          </w:tcPr>
          <w:p w14:paraId="20643D77"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474</w:t>
            </w:r>
          </w:p>
          <w:p w14:paraId="20643D78"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(338 – 653)</w:t>
            </w:r>
          </w:p>
        </w:tc>
        <w:tc>
          <w:tcPr>
            <w:tcW w:w="1276" w:type="dxa"/>
            <w:tcBorders>
              <w:bottom w:val="single" w:sz="4" w:space="0" w:color="auto"/>
            </w:tcBorders>
            <w:shd w:val="clear" w:color="auto" w:fill="EAF1DD" w:themeFill="accent3" w:themeFillTint="33"/>
            <w:vAlign w:val="center"/>
          </w:tcPr>
          <w:p w14:paraId="20643D79"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0.6987</w:t>
            </w:r>
          </w:p>
        </w:tc>
        <w:tc>
          <w:tcPr>
            <w:tcW w:w="1701" w:type="dxa"/>
            <w:tcBorders>
              <w:bottom w:val="single" w:sz="4" w:space="0" w:color="auto"/>
            </w:tcBorders>
            <w:shd w:val="clear" w:color="auto" w:fill="EAF1DD" w:themeFill="accent3" w:themeFillTint="33"/>
            <w:noWrap/>
            <w:vAlign w:val="center"/>
          </w:tcPr>
          <w:p w14:paraId="20643D7A" w14:textId="77777777" w:rsidR="00333AC0" w:rsidRPr="00A8343B" w:rsidRDefault="00333AC0" w:rsidP="00011A05">
            <w:pPr>
              <w:jc w:val="center"/>
              <w:rPr>
                <w:rFonts w:cs="Arial"/>
                <w:color w:val="000000" w:themeColor="text1"/>
                <w:sz w:val="18"/>
                <w:szCs w:val="18"/>
              </w:rPr>
            </w:pPr>
            <w:r w:rsidRPr="00A8343B">
              <w:rPr>
                <w:rFonts w:cs="Arial"/>
                <w:color w:val="000000" w:themeColor="text1"/>
                <w:sz w:val="18"/>
                <w:szCs w:val="18"/>
              </w:rPr>
              <w:t>390 - 630</w:t>
            </w:r>
          </w:p>
        </w:tc>
      </w:tr>
    </w:tbl>
    <w:p w14:paraId="20643D7C" w14:textId="77777777" w:rsidR="00333AC0" w:rsidRPr="00A8343B" w:rsidRDefault="00333AC0" w:rsidP="00011A05">
      <w:pPr>
        <w:autoSpaceDE w:val="0"/>
        <w:autoSpaceDN w:val="0"/>
        <w:adjustRightInd w:val="0"/>
        <w:rPr>
          <w:color w:val="000000" w:themeColor="text1"/>
          <w:sz w:val="18"/>
          <w:szCs w:val="18"/>
        </w:rPr>
      </w:pPr>
      <w:r w:rsidRPr="00A8343B">
        <w:rPr>
          <w:color w:val="000000" w:themeColor="text1"/>
          <w:sz w:val="18"/>
          <w:szCs w:val="18"/>
          <w:vertAlign w:val="superscript"/>
        </w:rPr>
        <w:t>1</w:t>
      </w:r>
      <w:r>
        <w:rPr>
          <w:color w:val="000000" w:themeColor="text1"/>
          <w:sz w:val="18"/>
          <w:szCs w:val="18"/>
        </w:rPr>
        <w:t xml:space="preserve"> p</w:t>
      </w:r>
      <w:r w:rsidRPr="00A8343B">
        <w:rPr>
          <w:color w:val="000000" w:themeColor="text1"/>
          <w:sz w:val="18"/>
          <w:szCs w:val="18"/>
        </w:rPr>
        <w:t>-values indicating significant differences are bolded and underlined.</w:t>
      </w:r>
    </w:p>
    <w:p w14:paraId="20643D7D" w14:textId="77777777" w:rsidR="00333AC0" w:rsidRPr="00A8343B" w:rsidRDefault="00333AC0" w:rsidP="00011A05">
      <w:pPr>
        <w:autoSpaceDE w:val="0"/>
        <w:autoSpaceDN w:val="0"/>
        <w:adjustRightInd w:val="0"/>
        <w:rPr>
          <w:color w:val="000000" w:themeColor="text1"/>
          <w:sz w:val="18"/>
          <w:szCs w:val="18"/>
        </w:rPr>
      </w:pPr>
      <w:r w:rsidRPr="00A8343B">
        <w:rPr>
          <w:color w:val="000000" w:themeColor="text1"/>
          <w:sz w:val="18"/>
          <w:szCs w:val="18"/>
          <w:vertAlign w:val="superscript"/>
        </w:rPr>
        <w:t xml:space="preserve">2 </w:t>
      </w:r>
      <w:r w:rsidRPr="00A8343B">
        <w:rPr>
          <w:color w:val="000000" w:themeColor="text1"/>
          <w:sz w:val="18"/>
          <w:szCs w:val="18"/>
        </w:rPr>
        <w:t xml:space="preserve">Literature range compiled from Juliano &amp; Bechtel </w:t>
      </w:r>
      <w:r w:rsidRPr="00A8343B">
        <w:rPr>
          <w:noProof/>
          <w:color w:val="000000" w:themeColor="text1"/>
          <w:sz w:val="18"/>
          <w:szCs w:val="18"/>
        </w:rPr>
        <w:t>(1985)</w:t>
      </w:r>
      <w:r>
        <w:rPr>
          <w:color w:val="000000" w:themeColor="text1"/>
          <w:sz w:val="18"/>
          <w:szCs w:val="18"/>
        </w:rPr>
        <w:t xml:space="preserve"> and </w:t>
      </w:r>
      <w:r w:rsidRPr="00A8343B">
        <w:rPr>
          <w:color w:val="000000" w:themeColor="text1"/>
          <w:sz w:val="18"/>
          <w:szCs w:val="18"/>
        </w:rPr>
        <w:t xml:space="preserve">ILSI </w:t>
      </w:r>
      <w:r w:rsidRPr="00A8343B">
        <w:rPr>
          <w:noProof/>
          <w:color w:val="000000" w:themeColor="text1"/>
          <w:sz w:val="18"/>
          <w:szCs w:val="18"/>
        </w:rPr>
        <w:t>(2014)</w:t>
      </w:r>
    </w:p>
    <w:p w14:paraId="20643D7E" w14:textId="77777777" w:rsidR="00333AC0" w:rsidRPr="00E308F0" w:rsidRDefault="00333AC0" w:rsidP="00011A05">
      <w:pPr>
        <w:pStyle w:val="Heading3"/>
      </w:pPr>
      <w:r w:rsidRPr="00E308F0">
        <w:t xml:space="preserve">5.3.4 </w:t>
      </w:r>
      <w:r w:rsidRPr="00E308F0">
        <w:tab/>
      </w:r>
      <w:r>
        <w:t>Minerals</w:t>
      </w:r>
    </w:p>
    <w:p w14:paraId="20643D7F" w14:textId="77777777" w:rsidR="00333AC0" w:rsidRDefault="00333AC0" w:rsidP="00011A05">
      <w:pPr>
        <w:widowControl/>
        <w:autoSpaceDE w:val="0"/>
        <w:autoSpaceDN w:val="0"/>
        <w:adjustRightInd w:val="0"/>
        <w:rPr>
          <w:rFonts w:cs="Arial"/>
          <w:szCs w:val="22"/>
          <w:lang w:eastAsia="en-GB" w:bidi="ar-SA"/>
        </w:rPr>
      </w:pPr>
      <w:r w:rsidRPr="005B4AC6">
        <w:rPr>
          <w:rFonts w:eastAsia="Batang" w:cs="Arial"/>
          <w:bCs/>
          <w:color w:val="000000" w:themeColor="text1"/>
          <w:szCs w:val="22"/>
        </w:rPr>
        <w:t xml:space="preserve">Levels of nine minerals were measured. The means for these are given </w:t>
      </w:r>
      <w:r w:rsidRPr="00B275D4">
        <w:rPr>
          <w:rFonts w:eastAsia="Batang" w:cs="Arial"/>
          <w:bCs/>
          <w:color w:val="000000" w:themeColor="text1"/>
          <w:szCs w:val="22"/>
        </w:rPr>
        <w:t xml:space="preserve">in </w:t>
      </w:r>
      <w:r w:rsidRPr="00B275D4">
        <w:rPr>
          <w:rFonts w:cs="Arial"/>
          <w:color w:val="000000" w:themeColor="text1"/>
        </w:rPr>
        <w:t xml:space="preserve">Table 10. There were no </w:t>
      </w:r>
      <w:r w:rsidRPr="00B275D4">
        <w:rPr>
          <w:rFonts w:cs="Arial"/>
          <w:szCs w:val="22"/>
          <w:lang w:eastAsia="en-GB" w:bidi="ar-SA"/>
        </w:rPr>
        <w:t>statistically significant differences between grain from GR2E and Rc82 in the</w:t>
      </w:r>
      <w:r>
        <w:rPr>
          <w:rFonts w:cs="Arial"/>
          <w:szCs w:val="22"/>
          <w:lang w:eastAsia="en-GB" w:bidi="ar-SA"/>
        </w:rPr>
        <w:t xml:space="preserve"> concentrations of any </w:t>
      </w:r>
      <w:r w:rsidRPr="005B4AC6">
        <w:rPr>
          <w:rFonts w:cs="Arial"/>
          <w:szCs w:val="22"/>
          <w:lang w:eastAsia="en-GB" w:bidi="ar-SA"/>
        </w:rPr>
        <w:t>measured analytes</w:t>
      </w:r>
    </w:p>
    <w:p w14:paraId="20643D80" w14:textId="77777777" w:rsidR="00333AC0" w:rsidRPr="005B4AC6" w:rsidRDefault="00333AC0" w:rsidP="00011A05">
      <w:pPr>
        <w:widowControl/>
        <w:autoSpaceDE w:val="0"/>
        <w:autoSpaceDN w:val="0"/>
        <w:adjustRightInd w:val="0"/>
        <w:rPr>
          <w:rFonts w:cs="Arial"/>
          <w:szCs w:val="22"/>
          <w:lang w:eastAsia="en-GB" w:bidi="ar-SA"/>
        </w:rPr>
      </w:pPr>
    </w:p>
    <w:p w14:paraId="20643D81" w14:textId="77777777" w:rsidR="00333AC0" w:rsidRPr="005B4AC6" w:rsidRDefault="00333AC0" w:rsidP="00011A05">
      <w:pPr>
        <w:pStyle w:val="Caption"/>
        <w:keepNext/>
        <w:ind w:left="1134" w:hanging="1134"/>
        <w:rPr>
          <w:color w:val="000000" w:themeColor="text1"/>
          <w:sz w:val="22"/>
          <w:szCs w:val="22"/>
        </w:rPr>
      </w:pPr>
      <w:bookmarkStart w:id="59" w:name="_Toc487212009"/>
      <w:r w:rsidRPr="005B4AC6">
        <w:rPr>
          <w:sz w:val="22"/>
          <w:szCs w:val="22"/>
        </w:rPr>
        <w:t xml:space="preserve">Table </w:t>
      </w:r>
      <w:r w:rsidRPr="005B4AC6">
        <w:rPr>
          <w:sz w:val="22"/>
          <w:szCs w:val="22"/>
        </w:rPr>
        <w:fldChar w:fldCharType="begin"/>
      </w:r>
      <w:r w:rsidRPr="005B4AC6">
        <w:rPr>
          <w:sz w:val="22"/>
          <w:szCs w:val="22"/>
        </w:rPr>
        <w:instrText xml:space="preserve"> SEQ Table \* ARABIC </w:instrText>
      </w:r>
      <w:r w:rsidRPr="005B4AC6">
        <w:rPr>
          <w:sz w:val="22"/>
          <w:szCs w:val="22"/>
        </w:rPr>
        <w:fldChar w:fldCharType="separate"/>
      </w:r>
      <w:r w:rsidR="00286242">
        <w:rPr>
          <w:noProof/>
          <w:sz w:val="22"/>
          <w:szCs w:val="22"/>
        </w:rPr>
        <w:t>10</w:t>
      </w:r>
      <w:r w:rsidRPr="005B4AC6">
        <w:rPr>
          <w:sz w:val="22"/>
          <w:szCs w:val="22"/>
        </w:rPr>
        <w:fldChar w:fldCharType="end"/>
      </w:r>
      <w:r w:rsidRPr="005B4AC6">
        <w:rPr>
          <w:sz w:val="22"/>
          <w:szCs w:val="22"/>
        </w:rPr>
        <w:t xml:space="preserve">: </w:t>
      </w:r>
      <w:r>
        <w:rPr>
          <w:sz w:val="22"/>
          <w:szCs w:val="22"/>
        </w:rPr>
        <w:t xml:space="preserve">Mean (range) </w:t>
      </w:r>
      <w:r>
        <w:rPr>
          <w:color w:val="000000" w:themeColor="text1"/>
          <w:sz w:val="22"/>
          <w:szCs w:val="22"/>
        </w:rPr>
        <w:t>m</w:t>
      </w:r>
      <w:r w:rsidRPr="005B4AC6">
        <w:rPr>
          <w:color w:val="000000" w:themeColor="text1"/>
          <w:sz w:val="22"/>
          <w:szCs w:val="22"/>
        </w:rPr>
        <w:t>ineral composition (g/100 g dw) in paddy rice grain from GR2E and the Rc82 control collected over two growing seasons and four locations</w:t>
      </w:r>
      <w:bookmarkEnd w:id="59"/>
    </w:p>
    <w:p w14:paraId="20643D82" w14:textId="77777777" w:rsidR="00333AC0" w:rsidRPr="005B4AC6" w:rsidRDefault="00333AC0" w:rsidP="00011A05">
      <w:pPr>
        <w:rPr>
          <w:color w:val="000000" w:themeColor="text1"/>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0: Mean (range) mineral composition (g/100 g dw) in paddy rice grain from GR2E and the Rc82 control collected over two growing seasons and four locations"/>
      </w:tblPr>
      <w:tblGrid>
        <w:gridCol w:w="1668"/>
        <w:gridCol w:w="1843"/>
        <w:gridCol w:w="1842"/>
        <w:gridCol w:w="1276"/>
        <w:gridCol w:w="1701"/>
      </w:tblGrid>
      <w:tr w:rsidR="00333AC0" w:rsidRPr="005B4AC6" w14:paraId="20643D8B" w14:textId="77777777" w:rsidTr="00011A05">
        <w:trPr>
          <w:trHeight w:val="880"/>
          <w:tblHeader/>
        </w:trPr>
        <w:tc>
          <w:tcPr>
            <w:tcW w:w="1668" w:type="dxa"/>
            <w:tcBorders>
              <w:bottom w:val="single" w:sz="4" w:space="0" w:color="auto"/>
            </w:tcBorders>
            <w:shd w:val="clear" w:color="auto" w:fill="9BBB59" w:themeFill="accent3"/>
            <w:noWrap/>
            <w:vAlign w:val="center"/>
          </w:tcPr>
          <w:p w14:paraId="20643D83" w14:textId="77777777" w:rsidR="00333AC0" w:rsidRPr="008E099B" w:rsidRDefault="00333AC0" w:rsidP="00011A05">
            <w:pPr>
              <w:jc w:val="center"/>
              <w:rPr>
                <w:rFonts w:cs="Arial"/>
                <w:b/>
                <w:bCs/>
                <w:color w:val="FFFFFF" w:themeColor="background1"/>
                <w:sz w:val="18"/>
                <w:szCs w:val="18"/>
              </w:rPr>
            </w:pPr>
            <w:r w:rsidRPr="008E099B">
              <w:rPr>
                <w:rFonts w:cs="Arial"/>
                <w:b/>
                <w:bCs/>
                <w:color w:val="FFFFFF" w:themeColor="background1"/>
                <w:sz w:val="18"/>
                <w:szCs w:val="18"/>
              </w:rPr>
              <w:t>Mineral</w:t>
            </w:r>
          </w:p>
        </w:tc>
        <w:tc>
          <w:tcPr>
            <w:tcW w:w="1843" w:type="dxa"/>
            <w:tcBorders>
              <w:bottom w:val="single" w:sz="4" w:space="0" w:color="auto"/>
            </w:tcBorders>
            <w:shd w:val="clear" w:color="auto" w:fill="9BBB59" w:themeFill="accent3"/>
            <w:vAlign w:val="center"/>
          </w:tcPr>
          <w:p w14:paraId="20643D84"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GR2E</w:t>
            </w:r>
          </w:p>
          <w:p w14:paraId="20643D85" w14:textId="77777777" w:rsidR="00333AC0" w:rsidRPr="008E099B" w:rsidRDefault="00333AC0" w:rsidP="00011A05">
            <w:pPr>
              <w:jc w:val="center"/>
              <w:rPr>
                <w:rFonts w:cs="Arial"/>
                <w:b/>
                <w:bCs/>
                <w:color w:val="FFFFFF" w:themeColor="background1"/>
                <w:sz w:val="18"/>
                <w:szCs w:val="18"/>
              </w:rPr>
            </w:pPr>
            <w:r w:rsidRPr="008E099B">
              <w:rPr>
                <w:rFonts w:eastAsiaTheme="minorHAnsi" w:cs="Arial"/>
                <w:b/>
                <w:color w:val="FFFFFF" w:themeColor="background1"/>
                <w:sz w:val="18"/>
                <w:szCs w:val="18"/>
              </w:rPr>
              <w:t>(mg/100 g dw)</w:t>
            </w:r>
          </w:p>
        </w:tc>
        <w:tc>
          <w:tcPr>
            <w:tcW w:w="1842" w:type="dxa"/>
            <w:tcBorders>
              <w:bottom w:val="single" w:sz="4" w:space="0" w:color="auto"/>
            </w:tcBorders>
            <w:shd w:val="clear" w:color="auto" w:fill="9BBB59" w:themeFill="accent3"/>
            <w:vAlign w:val="center"/>
          </w:tcPr>
          <w:p w14:paraId="20643D86"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 xml:space="preserve">Control </w:t>
            </w:r>
          </w:p>
          <w:p w14:paraId="20643D87"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(mg/100 g dw)</w:t>
            </w:r>
          </w:p>
        </w:tc>
        <w:tc>
          <w:tcPr>
            <w:tcW w:w="1276" w:type="dxa"/>
            <w:tcBorders>
              <w:bottom w:val="single" w:sz="4" w:space="0" w:color="auto"/>
            </w:tcBorders>
            <w:shd w:val="clear" w:color="auto" w:fill="9BBB59" w:themeFill="accent3"/>
            <w:vAlign w:val="center"/>
          </w:tcPr>
          <w:p w14:paraId="20643D88" w14:textId="77777777" w:rsidR="00333AC0" w:rsidRPr="008E099B"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8E099B">
              <w:rPr>
                <w:rFonts w:cs="Arial"/>
                <w:b/>
                <w:bCs/>
                <w:color w:val="FFFFFF" w:themeColor="background1"/>
                <w:sz w:val="18"/>
                <w:szCs w:val="18"/>
              </w:rPr>
              <w:t>-value</w:t>
            </w:r>
            <w:r w:rsidRPr="008E099B">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D89" w14:textId="77777777" w:rsidR="00333AC0" w:rsidRPr="008E099B" w:rsidRDefault="00333AC0" w:rsidP="00011A05">
            <w:pPr>
              <w:jc w:val="center"/>
              <w:rPr>
                <w:rFonts w:cs="Arial"/>
                <w:b/>
                <w:bCs/>
                <w:color w:val="FFFFFF" w:themeColor="background1"/>
                <w:sz w:val="18"/>
                <w:szCs w:val="18"/>
              </w:rPr>
            </w:pPr>
            <w:r w:rsidRPr="008E099B">
              <w:rPr>
                <w:rFonts w:cs="Arial"/>
                <w:b/>
                <w:bCs/>
                <w:color w:val="FFFFFF" w:themeColor="background1"/>
                <w:sz w:val="18"/>
                <w:szCs w:val="18"/>
              </w:rPr>
              <w:t>Combined literature</w:t>
            </w:r>
            <w:r w:rsidRPr="008E099B">
              <w:rPr>
                <w:rFonts w:cs="Arial"/>
                <w:b/>
                <w:bCs/>
                <w:color w:val="FFFFFF" w:themeColor="background1"/>
                <w:sz w:val="18"/>
                <w:szCs w:val="18"/>
              </w:rPr>
              <w:br/>
              <w:t>range</w:t>
            </w:r>
            <w:r w:rsidRPr="008E099B">
              <w:rPr>
                <w:rFonts w:cs="Arial"/>
                <w:b/>
                <w:bCs/>
                <w:color w:val="FFFFFF" w:themeColor="background1"/>
                <w:sz w:val="18"/>
                <w:szCs w:val="18"/>
                <w:vertAlign w:val="superscript"/>
              </w:rPr>
              <w:t>2</w:t>
            </w:r>
            <w:r w:rsidRPr="008E099B">
              <w:rPr>
                <w:rFonts w:cs="Arial"/>
                <w:b/>
                <w:bCs/>
                <w:color w:val="FFFFFF" w:themeColor="background1"/>
                <w:sz w:val="18"/>
                <w:szCs w:val="18"/>
              </w:rPr>
              <w:t xml:space="preserve"> </w:t>
            </w:r>
          </w:p>
          <w:p w14:paraId="20643D8A" w14:textId="77777777" w:rsidR="00333AC0" w:rsidRPr="008E099B" w:rsidRDefault="00333AC0" w:rsidP="00011A05">
            <w:pPr>
              <w:jc w:val="center"/>
              <w:rPr>
                <w:rFonts w:cs="Arial"/>
                <w:b/>
                <w:bCs/>
                <w:color w:val="FFFFFF" w:themeColor="background1"/>
                <w:sz w:val="18"/>
                <w:szCs w:val="18"/>
              </w:rPr>
            </w:pPr>
            <w:r w:rsidRPr="008E099B">
              <w:rPr>
                <w:rFonts w:eastAsiaTheme="minorHAnsi" w:cs="Arial"/>
                <w:b/>
                <w:color w:val="FFFFFF" w:themeColor="background1"/>
                <w:sz w:val="18"/>
                <w:szCs w:val="18"/>
              </w:rPr>
              <w:t>(mg/100 g dw)</w:t>
            </w:r>
          </w:p>
        </w:tc>
      </w:tr>
      <w:tr w:rsidR="00333AC0" w:rsidRPr="005B4AC6" w14:paraId="20643D93" w14:textId="77777777" w:rsidTr="00011A05">
        <w:trPr>
          <w:trHeight w:val="510"/>
        </w:trPr>
        <w:tc>
          <w:tcPr>
            <w:tcW w:w="1668" w:type="dxa"/>
            <w:shd w:val="clear" w:color="auto" w:fill="auto"/>
            <w:noWrap/>
            <w:vAlign w:val="center"/>
          </w:tcPr>
          <w:p w14:paraId="20643D8C"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Calcium</w:t>
            </w:r>
          </w:p>
        </w:tc>
        <w:tc>
          <w:tcPr>
            <w:tcW w:w="1843" w:type="dxa"/>
            <w:vAlign w:val="center"/>
          </w:tcPr>
          <w:p w14:paraId="20643D8D"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22.5</w:t>
            </w:r>
          </w:p>
          <w:p w14:paraId="20643D8E"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(14.2 - 35)</w:t>
            </w:r>
          </w:p>
        </w:tc>
        <w:tc>
          <w:tcPr>
            <w:tcW w:w="1842" w:type="dxa"/>
            <w:vAlign w:val="center"/>
          </w:tcPr>
          <w:p w14:paraId="20643D8F"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21.39</w:t>
            </w:r>
          </w:p>
          <w:p w14:paraId="20643D90"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(15.3 – 29.8)</w:t>
            </w:r>
          </w:p>
        </w:tc>
        <w:tc>
          <w:tcPr>
            <w:tcW w:w="1276" w:type="dxa"/>
            <w:vAlign w:val="center"/>
          </w:tcPr>
          <w:p w14:paraId="20643D91"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0.5535</w:t>
            </w:r>
          </w:p>
        </w:tc>
        <w:tc>
          <w:tcPr>
            <w:tcW w:w="1701" w:type="dxa"/>
            <w:shd w:val="clear" w:color="auto" w:fill="auto"/>
            <w:noWrap/>
            <w:vAlign w:val="center"/>
          </w:tcPr>
          <w:p w14:paraId="20643D92"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 xml:space="preserve">10 - 150 </w:t>
            </w:r>
          </w:p>
        </w:tc>
      </w:tr>
      <w:tr w:rsidR="00333AC0" w:rsidRPr="005B4AC6" w14:paraId="20643D9B" w14:textId="77777777" w:rsidTr="00011A05">
        <w:trPr>
          <w:trHeight w:val="510"/>
        </w:trPr>
        <w:tc>
          <w:tcPr>
            <w:tcW w:w="1668" w:type="dxa"/>
            <w:shd w:val="clear" w:color="auto" w:fill="EAF1DD" w:themeFill="accent3" w:themeFillTint="33"/>
            <w:noWrap/>
            <w:vAlign w:val="center"/>
          </w:tcPr>
          <w:p w14:paraId="20643D94"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Copper</w:t>
            </w:r>
          </w:p>
        </w:tc>
        <w:tc>
          <w:tcPr>
            <w:tcW w:w="1843" w:type="dxa"/>
            <w:shd w:val="clear" w:color="auto" w:fill="EAF1DD" w:themeFill="accent3" w:themeFillTint="33"/>
            <w:vAlign w:val="center"/>
          </w:tcPr>
          <w:p w14:paraId="20643D95"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0.391</w:t>
            </w:r>
          </w:p>
          <w:p w14:paraId="20643D96"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(0.183 – 0.68)</w:t>
            </w:r>
          </w:p>
        </w:tc>
        <w:tc>
          <w:tcPr>
            <w:tcW w:w="1842" w:type="dxa"/>
            <w:shd w:val="clear" w:color="auto" w:fill="EAF1DD" w:themeFill="accent3" w:themeFillTint="33"/>
            <w:vAlign w:val="center"/>
          </w:tcPr>
          <w:p w14:paraId="20643D97"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0.365</w:t>
            </w:r>
          </w:p>
          <w:p w14:paraId="20643D98"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(0.215 – 0.506)</w:t>
            </w:r>
          </w:p>
        </w:tc>
        <w:tc>
          <w:tcPr>
            <w:tcW w:w="1276" w:type="dxa"/>
            <w:shd w:val="clear" w:color="auto" w:fill="EAF1DD" w:themeFill="accent3" w:themeFillTint="33"/>
            <w:vAlign w:val="center"/>
          </w:tcPr>
          <w:p w14:paraId="20643D99"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0.5441</w:t>
            </w:r>
          </w:p>
        </w:tc>
        <w:tc>
          <w:tcPr>
            <w:tcW w:w="1701" w:type="dxa"/>
            <w:shd w:val="clear" w:color="auto" w:fill="EAF1DD" w:themeFill="accent3" w:themeFillTint="33"/>
            <w:noWrap/>
            <w:vAlign w:val="center"/>
          </w:tcPr>
          <w:p w14:paraId="20643D9A"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0.2 – 1.3</w:t>
            </w:r>
          </w:p>
        </w:tc>
      </w:tr>
      <w:tr w:rsidR="00333AC0" w:rsidRPr="005B4AC6" w14:paraId="20643DA3" w14:textId="77777777" w:rsidTr="00011A05">
        <w:trPr>
          <w:trHeight w:val="510"/>
        </w:trPr>
        <w:tc>
          <w:tcPr>
            <w:tcW w:w="1668" w:type="dxa"/>
            <w:shd w:val="clear" w:color="auto" w:fill="auto"/>
            <w:noWrap/>
            <w:vAlign w:val="center"/>
          </w:tcPr>
          <w:p w14:paraId="20643D9C"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Iron</w:t>
            </w:r>
          </w:p>
        </w:tc>
        <w:tc>
          <w:tcPr>
            <w:tcW w:w="1843" w:type="dxa"/>
            <w:shd w:val="clear" w:color="auto" w:fill="auto"/>
            <w:vAlign w:val="center"/>
          </w:tcPr>
          <w:p w14:paraId="20643D9D"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3.96</w:t>
            </w:r>
          </w:p>
          <w:p w14:paraId="20643D9E"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(2.37 – 10.6)</w:t>
            </w:r>
          </w:p>
        </w:tc>
        <w:tc>
          <w:tcPr>
            <w:tcW w:w="1842" w:type="dxa"/>
            <w:shd w:val="clear" w:color="auto" w:fill="auto"/>
            <w:vAlign w:val="center"/>
          </w:tcPr>
          <w:p w14:paraId="20643D9F"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4.57</w:t>
            </w:r>
          </w:p>
          <w:p w14:paraId="20643DA0"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(2.58 – 9.08)</w:t>
            </w:r>
          </w:p>
        </w:tc>
        <w:tc>
          <w:tcPr>
            <w:tcW w:w="1276" w:type="dxa"/>
            <w:shd w:val="clear" w:color="auto" w:fill="auto"/>
            <w:vAlign w:val="center"/>
          </w:tcPr>
          <w:p w14:paraId="20643DA1"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0.5136</w:t>
            </w:r>
          </w:p>
        </w:tc>
        <w:tc>
          <w:tcPr>
            <w:tcW w:w="1701" w:type="dxa"/>
            <w:shd w:val="clear" w:color="auto" w:fill="auto"/>
            <w:noWrap/>
            <w:vAlign w:val="center"/>
          </w:tcPr>
          <w:p w14:paraId="20643DA2"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1.6 – 5.3</w:t>
            </w:r>
          </w:p>
        </w:tc>
      </w:tr>
      <w:tr w:rsidR="00333AC0" w:rsidRPr="005B4AC6" w14:paraId="20643DAB" w14:textId="77777777" w:rsidTr="00011A05">
        <w:trPr>
          <w:trHeight w:val="510"/>
        </w:trPr>
        <w:tc>
          <w:tcPr>
            <w:tcW w:w="1668" w:type="dxa"/>
            <w:shd w:val="clear" w:color="auto" w:fill="EAF1DD" w:themeFill="accent3" w:themeFillTint="33"/>
            <w:noWrap/>
            <w:vAlign w:val="center"/>
          </w:tcPr>
          <w:p w14:paraId="20643DA4"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Magnesium</w:t>
            </w:r>
          </w:p>
        </w:tc>
        <w:tc>
          <w:tcPr>
            <w:tcW w:w="1843" w:type="dxa"/>
            <w:shd w:val="clear" w:color="auto" w:fill="EAF1DD" w:themeFill="accent3" w:themeFillTint="33"/>
            <w:vAlign w:val="center"/>
          </w:tcPr>
          <w:p w14:paraId="20643DA5"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130.5</w:t>
            </w:r>
          </w:p>
          <w:p w14:paraId="20643DA6" w14:textId="77777777" w:rsidR="00333AC0" w:rsidRPr="005B4AC6" w:rsidRDefault="00333AC0" w:rsidP="00011A05">
            <w:pPr>
              <w:jc w:val="center"/>
              <w:rPr>
                <w:rFonts w:cs="Arial"/>
                <w:color w:val="000000" w:themeColor="text1"/>
                <w:sz w:val="18"/>
                <w:szCs w:val="18"/>
                <w:vertAlign w:val="superscript"/>
              </w:rPr>
            </w:pPr>
            <w:r w:rsidRPr="005B4AC6">
              <w:rPr>
                <w:rFonts w:cs="Arial"/>
                <w:color w:val="000000" w:themeColor="text1"/>
                <w:sz w:val="18"/>
                <w:szCs w:val="18"/>
              </w:rPr>
              <w:t>(87.5 - 185)</w:t>
            </w:r>
          </w:p>
        </w:tc>
        <w:tc>
          <w:tcPr>
            <w:tcW w:w="1842" w:type="dxa"/>
            <w:shd w:val="clear" w:color="auto" w:fill="EAF1DD" w:themeFill="accent3" w:themeFillTint="33"/>
            <w:vAlign w:val="center"/>
          </w:tcPr>
          <w:p w14:paraId="20643DA7"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133.4</w:t>
            </w:r>
          </w:p>
          <w:p w14:paraId="20643DA8"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(102 - 157)</w:t>
            </w:r>
          </w:p>
        </w:tc>
        <w:tc>
          <w:tcPr>
            <w:tcW w:w="1276" w:type="dxa"/>
            <w:shd w:val="clear" w:color="auto" w:fill="EAF1DD" w:themeFill="accent3" w:themeFillTint="33"/>
            <w:vAlign w:val="center"/>
          </w:tcPr>
          <w:p w14:paraId="20643DA9"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0.6312</w:t>
            </w:r>
          </w:p>
        </w:tc>
        <w:tc>
          <w:tcPr>
            <w:tcW w:w="1701" w:type="dxa"/>
            <w:shd w:val="clear" w:color="auto" w:fill="EAF1DD" w:themeFill="accent3" w:themeFillTint="33"/>
            <w:noWrap/>
            <w:vAlign w:val="center"/>
          </w:tcPr>
          <w:p w14:paraId="20643DAA"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30 - 170</w:t>
            </w:r>
          </w:p>
        </w:tc>
      </w:tr>
      <w:tr w:rsidR="00333AC0" w:rsidRPr="005B4AC6" w14:paraId="20643DB3" w14:textId="77777777" w:rsidTr="00011A05">
        <w:trPr>
          <w:trHeight w:val="510"/>
        </w:trPr>
        <w:tc>
          <w:tcPr>
            <w:tcW w:w="1668" w:type="dxa"/>
            <w:shd w:val="clear" w:color="auto" w:fill="auto"/>
            <w:noWrap/>
            <w:vAlign w:val="center"/>
          </w:tcPr>
          <w:p w14:paraId="20643DAC"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Manganese</w:t>
            </w:r>
          </w:p>
        </w:tc>
        <w:tc>
          <w:tcPr>
            <w:tcW w:w="1843" w:type="dxa"/>
            <w:shd w:val="clear" w:color="auto" w:fill="auto"/>
            <w:vAlign w:val="center"/>
          </w:tcPr>
          <w:p w14:paraId="20643DAD"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6.61</w:t>
            </w:r>
          </w:p>
          <w:p w14:paraId="20643DAE"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(4.33 – 8.39)</w:t>
            </w:r>
          </w:p>
        </w:tc>
        <w:tc>
          <w:tcPr>
            <w:tcW w:w="1842" w:type="dxa"/>
            <w:shd w:val="clear" w:color="auto" w:fill="auto"/>
            <w:vAlign w:val="center"/>
          </w:tcPr>
          <w:p w14:paraId="20643DAF"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6.47</w:t>
            </w:r>
          </w:p>
          <w:p w14:paraId="20643DB0"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(4.85 – 7.78)</w:t>
            </w:r>
          </w:p>
        </w:tc>
        <w:tc>
          <w:tcPr>
            <w:tcW w:w="1276" w:type="dxa"/>
            <w:shd w:val="clear" w:color="auto" w:fill="auto"/>
            <w:vAlign w:val="center"/>
          </w:tcPr>
          <w:p w14:paraId="20643DB1"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0.6741</w:t>
            </w:r>
          </w:p>
        </w:tc>
        <w:tc>
          <w:tcPr>
            <w:tcW w:w="1701" w:type="dxa"/>
            <w:shd w:val="clear" w:color="auto" w:fill="auto"/>
            <w:noWrap/>
            <w:vAlign w:val="center"/>
          </w:tcPr>
          <w:p w14:paraId="20643DB2"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2.0 – 11.7</w:t>
            </w:r>
          </w:p>
        </w:tc>
      </w:tr>
      <w:tr w:rsidR="00333AC0" w:rsidRPr="005B4AC6" w14:paraId="20643DBB" w14:textId="77777777" w:rsidTr="00011A05">
        <w:trPr>
          <w:trHeight w:val="510"/>
        </w:trPr>
        <w:tc>
          <w:tcPr>
            <w:tcW w:w="1668" w:type="dxa"/>
            <w:shd w:val="clear" w:color="auto" w:fill="EAF1DD" w:themeFill="accent3" w:themeFillTint="33"/>
            <w:noWrap/>
            <w:vAlign w:val="center"/>
          </w:tcPr>
          <w:p w14:paraId="20643DB4"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Phosphorus</w:t>
            </w:r>
          </w:p>
        </w:tc>
        <w:tc>
          <w:tcPr>
            <w:tcW w:w="1843" w:type="dxa"/>
            <w:shd w:val="clear" w:color="auto" w:fill="EAF1DD" w:themeFill="accent3" w:themeFillTint="33"/>
            <w:vAlign w:val="center"/>
          </w:tcPr>
          <w:p w14:paraId="20643DB5"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327.1</w:t>
            </w:r>
          </w:p>
          <w:p w14:paraId="20643DB6"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(211 - 461)</w:t>
            </w:r>
          </w:p>
        </w:tc>
        <w:tc>
          <w:tcPr>
            <w:tcW w:w="1842" w:type="dxa"/>
            <w:shd w:val="clear" w:color="auto" w:fill="EAF1DD" w:themeFill="accent3" w:themeFillTint="33"/>
            <w:vAlign w:val="center"/>
          </w:tcPr>
          <w:p w14:paraId="20643DB7"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329.4</w:t>
            </w:r>
          </w:p>
          <w:p w14:paraId="20643DB8"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(241 - 383)</w:t>
            </w:r>
          </w:p>
        </w:tc>
        <w:tc>
          <w:tcPr>
            <w:tcW w:w="1276" w:type="dxa"/>
            <w:shd w:val="clear" w:color="auto" w:fill="EAF1DD" w:themeFill="accent3" w:themeFillTint="33"/>
            <w:vAlign w:val="center"/>
          </w:tcPr>
          <w:p w14:paraId="20643DB9"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0.8698</w:t>
            </w:r>
          </w:p>
        </w:tc>
        <w:tc>
          <w:tcPr>
            <w:tcW w:w="1701" w:type="dxa"/>
            <w:shd w:val="clear" w:color="auto" w:fill="EAF1DD" w:themeFill="accent3" w:themeFillTint="33"/>
            <w:noWrap/>
            <w:vAlign w:val="center"/>
          </w:tcPr>
          <w:p w14:paraId="20643DBA"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190 - 470</w:t>
            </w:r>
          </w:p>
        </w:tc>
      </w:tr>
      <w:tr w:rsidR="00333AC0" w:rsidRPr="005B4AC6" w14:paraId="20643DC3" w14:textId="77777777" w:rsidTr="00011A05">
        <w:trPr>
          <w:trHeight w:val="510"/>
        </w:trPr>
        <w:tc>
          <w:tcPr>
            <w:tcW w:w="1668" w:type="dxa"/>
            <w:shd w:val="clear" w:color="auto" w:fill="auto"/>
            <w:noWrap/>
            <w:vAlign w:val="center"/>
          </w:tcPr>
          <w:p w14:paraId="20643DBC"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Potassium</w:t>
            </w:r>
          </w:p>
        </w:tc>
        <w:tc>
          <w:tcPr>
            <w:tcW w:w="1843" w:type="dxa"/>
            <w:shd w:val="clear" w:color="auto" w:fill="auto"/>
            <w:vAlign w:val="center"/>
          </w:tcPr>
          <w:p w14:paraId="20643DBD"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345.9</w:t>
            </w:r>
          </w:p>
          <w:p w14:paraId="20643DBE"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(236 - 597)</w:t>
            </w:r>
          </w:p>
        </w:tc>
        <w:tc>
          <w:tcPr>
            <w:tcW w:w="1842" w:type="dxa"/>
            <w:shd w:val="clear" w:color="auto" w:fill="auto"/>
            <w:vAlign w:val="center"/>
          </w:tcPr>
          <w:p w14:paraId="20643DBF"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338.9</w:t>
            </w:r>
          </w:p>
          <w:p w14:paraId="20643DC0"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(222 - 472)</w:t>
            </w:r>
          </w:p>
        </w:tc>
        <w:tc>
          <w:tcPr>
            <w:tcW w:w="1276" w:type="dxa"/>
            <w:shd w:val="clear" w:color="auto" w:fill="auto"/>
            <w:vAlign w:val="center"/>
          </w:tcPr>
          <w:p w14:paraId="20643DC1"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0.6656</w:t>
            </w:r>
          </w:p>
        </w:tc>
        <w:tc>
          <w:tcPr>
            <w:tcW w:w="1701" w:type="dxa"/>
            <w:shd w:val="clear" w:color="auto" w:fill="auto"/>
            <w:noWrap/>
            <w:vAlign w:val="center"/>
          </w:tcPr>
          <w:p w14:paraId="20643DC2"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170 - 350</w:t>
            </w:r>
          </w:p>
        </w:tc>
      </w:tr>
      <w:tr w:rsidR="00333AC0" w:rsidRPr="005B4AC6" w14:paraId="20643DCB" w14:textId="77777777" w:rsidTr="00011A05">
        <w:trPr>
          <w:trHeight w:val="510"/>
        </w:trPr>
        <w:tc>
          <w:tcPr>
            <w:tcW w:w="1668" w:type="dxa"/>
            <w:shd w:val="clear" w:color="auto" w:fill="EAF1DD" w:themeFill="accent3" w:themeFillTint="33"/>
            <w:noWrap/>
            <w:vAlign w:val="center"/>
          </w:tcPr>
          <w:p w14:paraId="20643DC4"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Sodium</w:t>
            </w:r>
          </w:p>
        </w:tc>
        <w:tc>
          <w:tcPr>
            <w:tcW w:w="1843" w:type="dxa"/>
            <w:shd w:val="clear" w:color="auto" w:fill="EAF1DD" w:themeFill="accent3" w:themeFillTint="33"/>
            <w:vAlign w:val="center"/>
          </w:tcPr>
          <w:p w14:paraId="20643DC5"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1.50</w:t>
            </w:r>
          </w:p>
          <w:p w14:paraId="20643DC6"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(0.56 – 3.81)</w:t>
            </w:r>
          </w:p>
        </w:tc>
        <w:tc>
          <w:tcPr>
            <w:tcW w:w="1842" w:type="dxa"/>
            <w:shd w:val="clear" w:color="auto" w:fill="EAF1DD" w:themeFill="accent3" w:themeFillTint="33"/>
            <w:vAlign w:val="center"/>
          </w:tcPr>
          <w:p w14:paraId="20643DC7"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1.30</w:t>
            </w:r>
          </w:p>
          <w:p w14:paraId="20643DC8"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(0.543 – 3.07)</w:t>
            </w:r>
          </w:p>
        </w:tc>
        <w:tc>
          <w:tcPr>
            <w:tcW w:w="1276" w:type="dxa"/>
            <w:shd w:val="clear" w:color="auto" w:fill="EAF1DD" w:themeFill="accent3" w:themeFillTint="33"/>
            <w:vAlign w:val="center"/>
          </w:tcPr>
          <w:p w14:paraId="20643DC9"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0.4668</w:t>
            </w:r>
          </w:p>
        </w:tc>
        <w:tc>
          <w:tcPr>
            <w:tcW w:w="1701" w:type="dxa"/>
            <w:shd w:val="clear" w:color="auto" w:fill="EAF1DD" w:themeFill="accent3" w:themeFillTint="33"/>
            <w:noWrap/>
            <w:vAlign w:val="center"/>
          </w:tcPr>
          <w:p w14:paraId="20643DCA"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0 - 100</w:t>
            </w:r>
          </w:p>
        </w:tc>
      </w:tr>
      <w:tr w:rsidR="00333AC0" w:rsidRPr="005B4AC6" w14:paraId="20643DD3" w14:textId="77777777" w:rsidTr="00011A05">
        <w:trPr>
          <w:trHeight w:val="510"/>
        </w:trPr>
        <w:tc>
          <w:tcPr>
            <w:tcW w:w="1668" w:type="dxa"/>
            <w:tcBorders>
              <w:bottom w:val="single" w:sz="4" w:space="0" w:color="auto"/>
            </w:tcBorders>
            <w:shd w:val="clear" w:color="auto" w:fill="auto"/>
            <w:noWrap/>
            <w:vAlign w:val="center"/>
          </w:tcPr>
          <w:p w14:paraId="20643DCC" w14:textId="77777777" w:rsidR="00333AC0" w:rsidRPr="005B4AC6" w:rsidRDefault="00333AC0" w:rsidP="00011A05">
            <w:pPr>
              <w:jc w:val="center"/>
              <w:rPr>
                <w:rFonts w:cs="Arial"/>
                <w:color w:val="000000" w:themeColor="text1"/>
                <w:sz w:val="20"/>
                <w:szCs w:val="20"/>
              </w:rPr>
            </w:pPr>
            <w:r w:rsidRPr="005B4AC6">
              <w:rPr>
                <w:rFonts w:cs="Arial"/>
                <w:color w:val="000000" w:themeColor="text1"/>
                <w:sz w:val="20"/>
                <w:szCs w:val="20"/>
              </w:rPr>
              <w:t>Zinc</w:t>
            </w:r>
          </w:p>
        </w:tc>
        <w:tc>
          <w:tcPr>
            <w:tcW w:w="1843" w:type="dxa"/>
            <w:tcBorders>
              <w:bottom w:val="single" w:sz="4" w:space="0" w:color="auto"/>
            </w:tcBorders>
            <w:shd w:val="clear" w:color="auto" w:fill="auto"/>
            <w:vAlign w:val="center"/>
          </w:tcPr>
          <w:p w14:paraId="20643DCD"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2.31</w:t>
            </w:r>
          </w:p>
          <w:p w14:paraId="20643DCE"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(1.63 – 3.21)</w:t>
            </w:r>
          </w:p>
        </w:tc>
        <w:tc>
          <w:tcPr>
            <w:tcW w:w="1842" w:type="dxa"/>
            <w:tcBorders>
              <w:bottom w:val="single" w:sz="4" w:space="0" w:color="auto"/>
            </w:tcBorders>
            <w:shd w:val="clear" w:color="auto" w:fill="auto"/>
            <w:vAlign w:val="center"/>
          </w:tcPr>
          <w:p w14:paraId="20643DCF"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2.19</w:t>
            </w:r>
          </w:p>
          <w:p w14:paraId="20643DD0"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(1.73 – 2.78)</w:t>
            </w:r>
          </w:p>
        </w:tc>
        <w:tc>
          <w:tcPr>
            <w:tcW w:w="1276" w:type="dxa"/>
            <w:tcBorders>
              <w:bottom w:val="single" w:sz="4" w:space="0" w:color="auto"/>
            </w:tcBorders>
            <w:shd w:val="clear" w:color="auto" w:fill="auto"/>
            <w:vAlign w:val="center"/>
          </w:tcPr>
          <w:p w14:paraId="20643DD1"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0.5689</w:t>
            </w:r>
          </w:p>
        </w:tc>
        <w:tc>
          <w:tcPr>
            <w:tcW w:w="1701" w:type="dxa"/>
            <w:tcBorders>
              <w:bottom w:val="single" w:sz="4" w:space="0" w:color="auto"/>
            </w:tcBorders>
            <w:shd w:val="clear" w:color="auto" w:fill="auto"/>
            <w:noWrap/>
            <w:vAlign w:val="center"/>
          </w:tcPr>
          <w:p w14:paraId="20643DD2" w14:textId="77777777" w:rsidR="00333AC0" w:rsidRPr="005B4AC6" w:rsidRDefault="00333AC0" w:rsidP="00011A05">
            <w:pPr>
              <w:jc w:val="center"/>
              <w:rPr>
                <w:rFonts w:cs="Arial"/>
                <w:color w:val="000000" w:themeColor="text1"/>
                <w:sz w:val="18"/>
                <w:szCs w:val="18"/>
              </w:rPr>
            </w:pPr>
            <w:r w:rsidRPr="005B4AC6">
              <w:rPr>
                <w:rFonts w:cs="Arial"/>
                <w:color w:val="000000" w:themeColor="text1"/>
                <w:sz w:val="18"/>
                <w:szCs w:val="18"/>
              </w:rPr>
              <w:t>0.2 – 3.6</w:t>
            </w:r>
          </w:p>
        </w:tc>
      </w:tr>
    </w:tbl>
    <w:p w14:paraId="20643DD4" w14:textId="77777777" w:rsidR="00333AC0" w:rsidRPr="005B4AC6" w:rsidRDefault="00333AC0" w:rsidP="00011A05">
      <w:pPr>
        <w:autoSpaceDE w:val="0"/>
        <w:autoSpaceDN w:val="0"/>
        <w:adjustRightInd w:val="0"/>
        <w:rPr>
          <w:color w:val="000000" w:themeColor="text1"/>
          <w:sz w:val="18"/>
          <w:szCs w:val="18"/>
        </w:rPr>
      </w:pPr>
      <w:r w:rsidRPr="005B4AC6">
        <w:rPr>
          <w:color w:val="000000" w:themeColor="text1"/>
          <w:sz w:val="18"/>
          <w:szCs w:val="18"/>
          <w:vertAlign w:val="superscript"/>
        </w:rPr>
        <w:t>1</w:t>
      </w:r>
      <w:r>
        <w:rPr>
          <w:color w:val="000000" w:themeColor="text1"/>
          <w:sz w:val="18"/>
          <w:szCs w:val="18"/>
        </w:rPr>
        <w:t xml:space="preserve"> p</w:t>
      </w:r>
      <w:r w:rsidRPr="005B4AC6">
        <w:rPr>
          <w:color w:val="000000" w:themeColor="text1"/>
          <w:sz w:val="18"/>
          <w:szCs w:val="18"/>
        </w:rPr>
        <w:t>-values indicating significant differences are bolded and underlined.</w:t>
      </w:r>
    </w:p>
    <w:p w14:paraId="20643DD5" w14:textId="77777777" w:rsidR="00333AC0" w:rsidRPr="005B4AC6" w:rsidRDefault="00333AC0" w:rsidP="00011A05">
      <w:pPr>
        <w:autoSpaceDE w:val="0"/>
        <w:autoSpaceDN w:val="0"/>
        <w:adjustRightInd w:val="0"/>
        <w:rPr>
          <w:color w:val="000000" w:themeColor="text1"/>
          <w:sz w:val="18"/>
          <w:szCs w:val="18"/>
        </w:rPr>
      </w:pPr>
      <w:r w:rsidRPr="005B4AC6">
        <w:rPr>
          <w:color w:val="000000" w:themeColor="text1"/>
          <w:sz w:val="18"/>
          <w:szCs w:val="18"/>
          <w:vertAlign w:val="superscript"/>
        </w:rPr>
        <w:t xml:space="preserve">2 </w:t>
      </w:r>
      <w:r w:rsidRPr="005B4AC6">
        <w:rPr>
          <w:color w:val="000000" w:themeColor="text1"/>
          <w:sz w:val="18"/>
          <w:szCs w:val="18"/>
        </w:rPr>
        <w:t xml:space="preserve">Literature range compiled from Juliano &amp; Bechtel </w:t>
      </w:r>
      <w:r w:rsidRPr="005B4AC6">
        <w:rPr>
          <w:noProof/>
          <w:color w:val="000000" w:themeColor="text1"/>
          <w:sz w:val="18"/>
          <w:szCs w:val="18"/>
        </w:rPr>
        <w:t>(1985)</w:t>
      </w:r>
      <w:r w:rsidRPr="005B4AC6">
        <w:rPr>
          <w:color w:val="000000" w:themeColor="text1"/>
          <w:sz w:val="18"/>
          <w:szCs w:val="18"/>
        </w:rPr>
        <w:t xml:space="preserve">, ILSI </w:t>
      </w:r>
      <w:r w:rsidRPr="005B4AC6">
        <w:rPr>
          <w:noProof/>
          <w:color w:val="000000" w:themeColor="text1"/>
          <w:sz w:val="18"/>
          <w:szCs w:val="18"/>
        </w:rPr>
        <w:t>(2014)</w:t>
      </w:r>
      <w:r w:rsidRPr="005B4AC6">
        <w:rPr>
          <w:color w:val="000000" w:themeColor="text1"/>
          <w:sz w:val="18"/>
          <w:szCs w:val="18"/>
        </w:rPr>
        <w:t xml:space="preserve"> and Heuze et al </w:t>
      </w:r>
      <w:r w:rsidRPr="005B4AC6">
        <w:rPr>
          <w:noProof/>
          <w:color w:val="000000" w:themeColor="text1"/>
          <w:sz w:val="18"/>
          <w:szCs w:val="18"/>
        </w:rPr>
        <w:t>(2015)</w:t>
      </w:r>
    </w:p>
    <w:p w14:paraId="20643DD6" w14:textId="77777777" w:rsidR="00333AC0" w:rsidRPr="005B4AC6" w:rsidRDefault="00333AC0" w:rsidP="00011A05">
      <w:pPr>
        <w:pStyle w:val="Heading3"/>
      </w:pPr>
      <w:r w:rsidRPr="005B4AC6">
        <w:t xml:space="preserve">5.3.5 </w:t>
      </w:r>
      <w:r w:rsidRPr="005B4AC6">
        <w:tab/>
        <w:t>Vitamins</w:t>
      </w:r>
    </w:p>
    <w:p w14:paraId="20643DD7" w14:textId="77777777" w:rsidR="00333AC0" w:rsidRPr="00091397" w:rsidRDefault="00333AC0" w:rsidP="00011A05">
      <w:pPr>
        <w:widowControl/>
        <w:autoSpaceDE w:val="0"/>
        <w:autoSpaceDN w:val="0"/>
        <w:adjustRightInd w:val="0"/>
        <w:rPr>
          <w:rFonts w:cs="Arial"/>
          <w:color w:val="000000" w:themeColor="text1"/>
        </w:rPr>
      </w:pPr>
      <w:r>
        <w:rPr>
          <w:rFonts w:cs="Arial"/>
          <w:color w:val="000000" w:themeColor="text1"/>
        </w:rPr>
        <w:t>Levels of six</w:t>
      </w:r>
      <w:r w:rsidRPr="008E099B">
        <w:rPr>
          <w:rFonts w:cs="Arial"/>
          <w:color w:val="000000" w:themeColor="text1"/>
        </w:rPr>
        <w:t xml:space="preserve"> B vitamins plus β-carotene and α-tocopherol were </w:t>
      </w:r>
      <w:r w:rsidRPr="00B275D4">
        <w:rPr>
          <w:rFonts w:cs="Arial"/>
          <w:color w:val="000000" w:themeColor="text1"/>
        </w:rPr>
        <w:t>measured (Table 11).</w:t>
      </w:r>
      <w:r w:rsidRPr="008E099B">
        <w:rPr>
          <w:rFonts w:cs="Arial"/>
          <w:color w:val="000000" w:themeColor="text1"/>
        </w:rPr>
        <w:t xml:space="preserve"> </w:t>
      </w:r>
      <w:r>
        <w:rPr>
          <w:rFonts w:cs="Arial"/>
          <w:color w:val="000000" w:themeColor="text1"/>
        </w:rPr>
        <w:t xml:space="preserve">The values for vitamin B2 (riboflavin) were below the LOQ (0.9 mg/mg dw) and were excluded from analysis. </w:t>
      </w:r>
      <w:r w:rsidRPr="008E099B">
        <w:rPr>
          <w:rFonts w:cs="Arial"/>
          <w:color w:val="000000" w:themeColor="text1"/>
          <w:szCs w:val="22"/>
          <w:lang w:eastAsia="en-GB" w:bidi="ar-SA"/>
        </w:rPr>
        <w:t xml:space="preserve">With the exception of β-carotene, which was intended to be elevated in GR2E rice, there were no statistically significant differences noted in the concentrations of any </w:t>
      </w:r>
      <w:r>
        <w:rPr>
          <w:rFonts w:cs="Arial"/>
          <w:color w:val="000000" w:themeColor="text1"/>
          <w:szCs w:val="22"/>
          <w:lang w:eastAsia="en-GB" w:bidi="ar-SA"/>
        </w:rPr>
        <w:t xml:space="preserve">of the other </w:t>
      </w:r>
      <w:r w:rsidRPr="008E099B">
        <w:rPr>
          <w:rFonts w:cs="Arial"/>
          <w:color w:val="000000" w:themeColor="text1"/>
          <w:szCs w:val="22"/>
          <w:lang w:eastAsia="en-GB" w:bidi="ar-SA"/>
        </w:rPr>
        <w:t>measured vitamins between GR2E and Rc82 rice grains</w:t>
      </w:r>
      <w:r>
        <w:rPr>
          <w:rFonts w:cs="Arial"/>
          <w:color w:val="000000" w:themeColor="text1"/>
          <w:szCs w:val="22"/>
          <w:lang w:eastAsia="en-GB" w:bidi="ar-SA"/>
        </w:rPr>
        <w:t>. A p-value could not be obtained for β-carotene because &gt; 80% of the values obtained for grain from Rc82 were below the LOQ (0.05 mg/kg dw).</w:t>
      </w:r>
    </w:p>
    <w:p w14:paraId="20643DD9" w14:textId="68302A81" w:rsidR="00333AC0" w:rsidRDefault="00333AC0">
      <w:pPr>
        <w:widowControl/>
        <w:rPr>
          <w:b/>
          <w:bCs/>
          <w:szCs w:val="22"/>
          <w:lang w:val="en-AU" w:bidi="ar-SA"/>
        </w:rPr>
      </w:pPr>
      <w:bookmarkStart w:id="60" w:name="_Toc487212010"/>
    </w:p>
    <w:p w14:paraId="20643DDA" w14:textId="77777777" w:rsidR="00333AC0" w:rsidRPr="008E099B" w:rsidRDefault="00333AC0" w:rsidP="00011A05">
      <w:pPr>
        <w:pStyle w:val="Caption"/>
        <w:keepNext/>
        <w:ind w:left="1134" w:hanging="1134"/>
        <w:rPr>
          <w:sz w:val="22"/>
          <w:szCs w:val="22"/>
        </w:rPr>
      </w:pPr>
      <w:r w:rsidRPr="008E099B">
        <w:rPr>
          <w:sz w:val="22"/>
          <w:szCs w:val="22"/>
        </w:rPr>
        <w:t xml:space="preserve">Table </w:t>
      </w:r>
      <w:r w:rsidRPr="008E099B">
        <w:rPr>
          <w:sz w:val="22"/>
          <w:szCs w:val="22"/>
        </w:rPr>
        <w:fldChar w:fldCharType="begin"/>
      </w:r>
      <w:r w:rsidRPr="008E099B">
        <w:rPr>
          <w:sz w:val="22"/>
          <w:szCs w:val="22"/>
        </w:rPr>
        <w:instrText xml:space="preserve"> SEQ Table \* ARABIC </w:instrText>
      </w:r>
      <w:r w:rsidRPr="008E099B">
        <w:rPr>
          <w:sz w:val="22"/>
          <w:szCs w:val="22"/>
        </w:rPr>
        <w:fldChar w:fldCharType="separate"/>
      </w:r>
      <w:r w:rsidR="00286242">
        <w:rPr>
          <w:noProof/>
          <w:sz w:val="22"/>
          <w:szCs w:val="22"/>
        </w:rPr>
        <w:t>11</w:t>
      </w:r>
      <w:r w:rsidRPr="008E099B">
        <w:rPr>
          <w:sz w:val="22"/>
          <w:szCs w:val="22"/>
        </w:rPr>
        <w:fldChar w:fldCharType="end"/>
      </w:r>
      <w:r w:rsidRPr="008E099B">
        <w:rPr>
          <w:sz w:val="22"/>
          <w:szCs w:val="22"/>
        </w:rPr>
        <w:t xml:space="preserve">: </w:t>
      </w:r>
      <w:r>
        <w:rPr>
          <w:sz w:val="22"/>
          <w:szCs w:val="22"/>
        </w:rPr>
        <w:t>Mean (range) v</w:t>
      </w:r>
      <w:r w:rsidRPr="008E099B">
        <w:rPr>
          <w:sz w:val="22"/>
          <w:szCs w:val="22"/>
        </w:rPr>
        <w:t>itamin composition (g/kg dw) in paddy rice grain from GR2E and the Rc82 control collected over two growing seasons and four locations</w:t>
      </w:r>
      <w:bookmarkEnd w:id="60"/>
    </w:p>
    <w:p w14:paraId="20643DDB" w14:textId="77777777" w:rsidR="00333AC0" w:rsidRPr="008E099B" w:rsidRDefault="00333AC0" w:rsidP="00011A05">
      <w:pPr>
        <w:rPr>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an (range) vitamin composition (g/kg dw) in paddy rice grain from GR2E and the Rc82 control collected over two growing seasons and four locations"/>
      </w:tblPr>
      <w:tblGrid>
        <w:gridCol w:w="1668"/>
        <w:gridCol w:w="1843"/>
        <w:gridCol w:w="1842"/>
        <w:gridCol w:w="1276"/>
        <w:gridCol w:w="1701"/>
      </w:tblGrid>
      <w:tr w:rsidR="00333AC0" w:rsidRPr="005B4AC6" w14:paraId="20643DE4" w14:textId="77777777" w:rsidTr="00011A05">
        <w:trPr>
          <w:trHeight w:val="880"/>
          <w:tblHeader/>
        </w:trPr>
        <w:tc>
          <w:tcPr>
            <w:tcW w:w="1668" w:type="dxa"/>
            <w:tcBorders>
              <w:bottom w:val="single" w:sz="4" w:space="0" w:color="auto"/>
            </w:tcBorders>
            <w:shd w:val="clear" w:color="auto" w:fill="9BBB59" w:themeFill="accent3"/>
            <w:noWrap/>
            <w:vAlign w:val="center"/>
          </w:tcPr>
          <w:p w14:paraId="20643DDC" w14:textId="77777777" w:rsidR="00333AC0" w:rsidRPr="008E099B" w:rsidRDefault="00333AC0" w:rsidP="00011A05">
            <w:pPr>
              <w:jc w:val="center"/>
              <w:rPr>
                <w:rFonts w:cs="Arial"/>
                <w:b/>
                <w:bCs/>
                <w:color w:val="FFFFFF" w:themeColor="background1"/>
                <w:sz w:val="18"/>
                <w:szCs w:val="18"/>
              </w:rPr>
            </w:pPr>
            <w:r>
              <w:rPr>
                <w:rFonts w:cs="Arial"/>
                <w:b/>
                <w:bCs/>
                <w:color w:val="FFFFFF" w:themeColor="background1"/>
                <w:sz w:val="18"/>
                <w:szCs w:val="18"/>
              </w:rPr>
              <w:t>Vitamin</w:t>
            </w:r>
          </w:p>
        </w:tc>
        <w:tc>
          <w:tcPr>
            <w:tcW w:w="1843" w:type="dxa"/>
            <w:tcBorders>
              <w:bottom w:val="single" w:sz="4" w:space="0" w:color="auto"/>
            </w:tcBorders>
            <w:shd w:val="clear" w:color="auto" w:fill="9BBB59" w:themeFill="accent3"/>
            <w:vAlign w:val="center"/>
          </w:tcPr>
          <w:p w14:paraId="20643DDD"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GR2E</w:t>
            </w:r>
          </w:p>
          <w:p w14:paraId="20643DDE" w14:textId="77777777" w:rsidR="00333AC0" w:rsidRPr="008E099B"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c>
          <w:tcPr>
            <w:tcW w:w="1842" w:type="dxa"/>
            <w:tcBorders>
              <w:bottom w:val="single" w:sz="4" w:space="0" w:color="auto"/>
            </w:tcBorders>
            <w:shd w:val="clear" w:color="auto" w:fill="9BBB59" w:themeFill="accent3"/>
            <w:vAlign w:val="center"/>
          </w:tcPr>
          <w:p w14:paraId="20643DDF"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 xml:space="preserve">Control </w:t>
            </w:r>
          </w:p>
          <w:p w14:paraId="20643DE0" w14:textId="77777777" w:rsidR="00333AC0" w:rsidRPr="008E099B" w:rsidRDefault="00333AC0" w:rsidP="00011A05">
            <w:pPr>
              <w:jc w:val="center"/>
              <w:rPr>
                <w:rFonts w:eastAsiaTheme="minorHAnsi" w:cs="Arial"/>
                <w:b/>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c>
          <w:tcPr>
            <w:tcW w:w="1276" w:type="dxa"/>
            <w:tcBorders>
              <w:bottom w:val="single" w:sz="4" w:space="0" w:color="auto"/>
            </w:tcBorders>
            <w:shd w:val="clear" w:color="auto" w:fill="9BBB59" w:themeFill="accent3"/>
            <w:vAlign w:val="center"/>
          </w:tcPr>
          <w:p w14:paraId="20643DE1" w14:textId="77777777" w:rsidR="00333AC0" w:rsidRPr="008E099B"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8E099B">
              <w:rPr>
                <w:rFonts w:cs="Arial"/>
                <w:b/>
                <w:bCs/>
                <w:color w:val="FFFFFF" w:themeColor="background1"/>
                <w:sz w:val="18"/>
                <w:szCs w:val="18"/>
              </w:rPr>
              <w:t>-value</w:t>
            </w:r>
            <w:r w:rsidRPr="008E099B">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DE2" w14:textId="77777777" w:rsidR="00333AC0" w:rsidRPr="008E099B" w:rsidRDefault="00333AC0" w:rsidP="00011A05">
            <w:pPr>
              <w:jc w:val="center"/>
              <w:rPr>
                <w:rFonts w:cs="Arial"/>
                <w:b/>
                <w:bCs/>
                <w:color w:val="FFFFFF" w:themeColor="background1"/>
                <w:sz w:val="18"/>
                <w:szCs w:val="18"/>
              </w:rPr>
            </w:pPr>
            <w:r w:rsidRPr="008E099B">
              <w:rPr>
                <w:rFonts w:cs="Arial"/>
                <w:b/>
                <w:bCs/>
                <w:color w:val="FFFFFF" w:themeColor="background1"/>
                <w:sz w:val="18"/>
                <w:szCs w:val="18"/>
              </w:rPr>
              <w:t>Combined literature</w:t>
            </w:r>
            <w:r w:rsidRPr="008E099B">
              <w:rPr>
                <w:rFonts w:cs="Arial"/>
                <w:b/>
                <w:bCs/>
                <w:color w:val="FFFFFF" w:themeColor="background1"/>
                <w:sz w:val="18"/>
                <w:szCs w:val="18"/>
              </w:rPr>
              <w:br/>
              <w:t>range</w:t>
            </w:r>
            <w:r w:rsidRPr="008E099B">
              <w:rPr>
                <w:rFonts w:cs="Arial"/>
                <w:b/>
                <w:bCs/>
                <w:color w:val="FFFFFF" w:themeColor="background1"/>
                <w:sz w:val="18"/>
                <w:szCs w:val="18"/>
                <w:vertAlign w:val="superscript"/>
              </w:rPr>
              <w:t>2</w:t>
            </w:r>
            <w:r w:rsidRPr="008E099B">
              <w:rPr>
                <w:rFonts w:cs="Arial"/>
                <w:b/>
                <w:bCs/>
                <w:color w:val="FFFFFF" w:themeColor="background1"/>
                <w:sz w:val="18"/>
                <w:szCs w:val="18"/>
              </w:rPr>
              <w:t xml:space="preserve"> </w:t>
            </w:r>
          </w:p>
          <w:p w14:paraId="20643DE3" w14:textId="77777777" w:rsidR="00333AC0" w:rsidRPr="008E099B"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r>
      <w:tr w:rsidR="00333AC0" w:rsidRPr="005B4AC6" w14:paraId="20643DEC" w14:textId="77777777" w:rsidTr="00011A05">
        <w:trPr>
          <w:trHeight w:val="510"/>
        </w:trPr>
        <w:tc>
          <w:tcPr>
            <w:tcW w:w="1668" w:type="dxa"/>
            <w:shd w:val="clear" w:color="auto" w:fill="auto"/>
            <w:noWrap/>
            <w:vAlign w:val="center"/>
          </w:tcPr>
          <w:p w14:paraId="20643DE5"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B1 (thiamine)</w:t>
            </w:r>
          </w:p>
        </w:tc>
        <w:tc>
          <w:tcPr>
            <w:tcW w:w="1843" w:type="dxa"/>
            <w:vAlign w:val="center"/>
          </w:tcPr>
          <w:p w14:paraId="20643DE6"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3.13</w:t>
            </w:r>
          </w:p>
          <w:p w14:paraId="20643DE7"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(2.33 – 3.77)</w:t>
            </w:r>
          </w:p>
        </w:tc>
        <w:tc>
          <w:tcPr>
            <w:tcW w:w="1842" w:type="dxa"/>
            <w:vAlign w:val="center"/>
          </w:tcPr>
          <w:p w14:paraId="20643DE8"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3.08</w:t>
            </w:r>
          </w:p>
          <w:p w14:paraId="20643DE9"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(2.35 – 3.81)</w:t>
            </w:r>
          </w:p>
        </w:tc>
        <w:tc>
          <w:tcPr>
            <w:tcW w:w="1276" w:type="dxa"/>
            <w:vAlign w:val="center"/>
          </w:tcPr>
          <w:p w14:paraId="20643DEA"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0.6344</w:t>
            </w:r>
          </w:p>
        </w:tc>
        <w:tc>
          <w:tcPr>
            <w:tcW w:w="1701" w:type="dxa"/>
            <w:shd w:val="clear" w:color="auto" w:fill="auto"/>
            <w:noWrap/>
            <w:vAlign w:val="center"/>
          </w:tcPr>
          <w:p w14:paraId="20643DEB" w14:textId="77777777" w:rsidR="00333AC0" w:rsidRPr="008E099B" w:rsidRDefault="00333AC0" w:rsidP="00011A05">
            <w:pPr>
              <w:jc w:val="center"/>
              <w:rPr>
                <w:rFonts w:cs="Arial"/>
                <w:color w:val="000000" w:themeColor="text1"/>
                <w:sz w:val="18"/>
                <w:szCs w:val="18"/>
              </w:rPr>
            </w:pPr>
            <w:r w:rsidRPr="008E099B">
              <w:rPr>
                <w:rFonts w:cs="Arial"/>
                <w:color w:val="000000" w:themeColor="text1"/>
                <w:sz w:val="18"/>
                <w:szCs w:val="18"/>
              </w:rPr>
              <w:t>3.0 – 6.25</w:t>
            </w:r>
          </w:p>
        </w:tc>
      </w:tr>
      <w:tr w:rsidR="00333AC0" w:rsidRPr="005B4AC6" w14:paraId="20643DF4" w14:textId="77777777" w:rsidTr="00011A05">
        <w:trPr>
          <w:trHeight w:val="510"/>
        </w:trPr>
        <w:tc>
          <w:tcPr>
            <w:tcW w:w="1668" w:type="dxa"/>
            <w:shd w:val="clear" w:color="auto" w:fill="EAF1DD" w:themeFill="accent3" w:themeFillTint="33"/>
            <w:noWrap/>
            <w:vAlign w:val="center"/>
          </w:tcPr>
          <w:p w14:paraId="20643DED"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B3 (niacin)</w:t>
            </w:r>
          </w:p>
        </w:tc>
        <w:tc>
          <w:tcPr>
            <w:tcW w:w="1843" w:type="dxa"/>
            <w:shd w:val="clear" w:color="auto" w:fill="EAF1DD" w:themeFill="accent3" w:themeFillTint="33"/>
            <w:vAlign w:val="center"/>
          </w:tcPr>
          <w:p w14:paraId="20643DEE"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36.9</w:t>
            </w:r>
          </w:p>
          <w:p w14:paraId="20643DEF"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(23.4 – 58.3)</w:t>
            </w:r>
          </w:p>
        </w:tc>
        <w:tc>
          <w:tcPr>
            <w:tcW w:w="1842" w:type="dxa"/>
            <w:shd w:val="clear" w:color="auto" w:fill="EAF1DD" w:themeFill="accent3" w:themeFillTint="33"/>
            <w:vAlign w:val="center"/>
          </w:tcPr>
          <w:p w14:paraId="20643DF0"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 xml:space="preserve">32.63 </w:t>
            </w:r>
          </w:p>
          <w:p w14:paraId="20643DF1"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(20.2 – 48.8)</w:t>
            </w:r>
          </w:p>
        </w:tc>
        <w:tc>
          <w:tcPr>
            <w:tcW w:w="1276" w:type="dxa"/>
            <w:shd w:val="clear" w:color="auto" w:fill="EAF1DD" w:themeFill="accent3" w:themeFillTint="33"/>
            <w:vAlign w:val="center"/>
          </w:tcPr>
          <w:p w14:paraId="20643DF2"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0.4171</w:t>
            </w:r>
          </w:p>
        </w:tc>
        <w:tc>
          <w:tcPr>
            <w:tcW w:w="1701" w:type="dxa"/>
            <w:shd w:val="clear" w:color="auto" w:fill="EAF1DD" w:themeFill="accent3" w:themeFillTint="33"/>
            <w:noWrap/>
            <w:vAlign w:val="center"/>
          </w:tcPr>
          <w:p w14:paraId="20643DF3"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34 - 65</w:t>
            </w:r>
          </w:p>
        </w:tc>
      </w:tr>
      <w:tr w:rsidR="00333AC0" w:rsidRPr="005B4AC6" w14:paraId="20643DFC" w14:textId="77777777" w:rsidTr="00011A05">
        <w:trPr>
          <w:trHeight w:val="510"/>
        </w:trPr>
        <w:tc>
          <w:tcPr>
            <w:tcW w:w="1668" w:type="dxa"/>
            <w:shd w:val="clear" w:color="auto" w:fill="auto"/>
            <w:noWrap/>
            <w:vAlign w:val="center"/>
          </w:tcPr>
          <w:p w14:paraId="20643DF5"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B5 (pantothenic acid)</w:t>
            </w:r>
          </w:p>
        </w:tc>
        <w:tc>
          <w:tcPr>
            <w:tcW w:w="1843" w:type="dxa"/>
            <w:shd w:val="clear" w:color="auto" w:fill="auto"/>
            <w:vAlign w:val="center"/>
          </w:tcPr>
          <w:p w14:paraId="20643DF6"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9.15</w:t>
            </w:r>
          </w:p>
          <w:p w14:paraId="20643DF7"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(7.31 – 11.9)</w:t>
            </w:r>
          </w:p>
        </w:tc>
        <w:tc>
          <w:tcPr>
            <w:tcW w:w="1842" w:type="dxa"/>
            <w:shd w:val="clear" w:color="auto" w:fill="auto"/>
            <w:vAlign w:val="center"/>
          </w:tcPr>
          <w:p w14:paraId="20643DF8"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9.13</w:t>
            </w:r>
          </w:p>
          <w:p w14:paraId="20643DF9"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(7.22 – 11.4)</w:t>
            </w:r>
          </w:p>
        </w:tc>
        <w:tc>
          <w:tcPr>
            <w:tcW w:w="1276" w:type="dxa"/>
            <w:shd w:val="clear" w:color="auto" w:fill="auto"/>
            <w:vAlign w:val="center"/>
          </w:tcPr>
          <w:p w14:paraId="20643DFA"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0.9291</w:t>
            </w:r>
          </w:p>
        </w:tc>
        <w:tc>
          <w:tcPr>
            <w:tcW w:w="1701" w:type="dxa"/>
            <w:shd w:val="clear" w:color="auto" w:fill="auto"/>
            <w:noWrap/>
            <w:vAlign w:val="center"/>
          </w:tcPr>
          <w:p w14:paraId="20643DFB"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8 - 14</w:t>
            </w:r>
          </w:p>
        </w:tc>
      </w:tr>
      <w:tr w:rsidR="00333AC0" w:rsidRPr="005B4AC6" w14:paraId="20643E04" w14:textId="77777777" w:rsidTr="00011A05">
        <w:trPr>
          <w:trHeight w:val="510"/>
        </w:trPr>
        <w:tc>
          <w:tcPr>
            <w:tcW w:w="1668" w:type="dxa"/>
            <w:shd w:val="clear" w:color="auto" w:fill="EAF1DD" w:themeFill="accent3" w:themeFillTint="33"/>
            <w:noWrap/>
            <w:vAlign w:val="center"/>
          </w:tcPr>
          <w:p w14:paraId="20643DFD"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B6 (pyridoxine)</w:t>
            </w:r>
          </w:p>
        </w:tc>
        <w:tc>
          <w:tcPr>
            <w:tcW w:w="1843" w:type="dxa"/>
            <w:shd w:val="clear" w:color="auto" w:fill="EAF1DD" w:themeFill="accent3" w:themeFillTint="33"/>
            <w:vAlign w:val="center"/>
          </w:tcPr>
          <w:p w14:paraId="20643DFE"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2.72</w:t>
            </w:r>
          </w:p>
          <w:p w14:paraId="20643DFF" w14:textId="77777777" w:rsidR="00333AC0" w:rsidRPr="001F6233"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(2.22 – 3.3)</w:t>
            </w:r>
          </w:p>
        </w:tc>
        <w:tc>
          <w:tcPr>
            <w:tcW w:w="1842" w:type="dxa"/>
            <w:shd w:val="clear" w:color="auto" w:fill="EAF1DD" w:themeFill="accent3" w:themeFillTint="33"/>
            <w:vAlign w:val="center"/>
          </w:tcPr>
          <w:p w14:paraId="20643E00"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2.75</w:t>
            </w:r>
          </w:p>
          <w:p w14:paraId="20643E01"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(2.1 – 5.42)</w:t>
            </w:r>
          </w:p>
        </w:tc>
        <w:tc>
          <w:tcPr>
            <w:tcW w:w="1276" w:type="dxa"/>
            <w:shd w:val="clear" w:color="auto" w:fill="EAF1DD" w:themeFill="accent3" w:themeFillTint="33"/>
            <w:vAlign w:val="center"/>
          </w:tcPr>
          <w:p w14:paraId="20643E02"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0.9185</w:t>
            </w:r>
          </w:p>
        </w:tc>
        <w:tc>
          <w:tcPr>
            <w:tcW w:w="1701" w:type="dxa"/>
            <w:shd w:val="clear" w:color="auto" w:fill="EAF1DD" w:themeFill="accent3" w:themeFillTint="33"/>
            <w:noWrap/>
            <w:vAlign w:val="center"/>
          </w:tcPr>
          <w:p w14:paraId="20643E03"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5 - 8</w:t>
            </w:r>
          </w:p>
        </w:tc>
      </w:tr>
      <w:tr w:rsidR="00333AC0" w:rsidRPr="005B4AC6" w14:paraId="20643E0C" w14:textId="77777777" w:rsidTr="00011A05">
        <w:trPr>
          <w:trHeight w:val="510"/>
        </w:trPr>
        <w:tc>
          <w:tcPr>
            <w:tcW w:w="1668" w:type="dxa"/>
            <w:shd w:val="clear" w:color="auto" w:fill="auto"/>
            <w:noWrap/>
            <w:vAlign w:val="center"/>
          </w:tcPr>
          <w:p w14:paraId="20643E05"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B9 (folic acid)</w:t>
            </w:r>
          </w:p>
        </w:tc>
        <w:tc>
          <w:tcPr>
            <w:tcW w:w="1843" w:type="dxa"/>
            <w:shd w:val="clear" w:color="auto" w:fill="auto"/>
            <w:vAlign w:val="center"/>
          </w:tcPr>
          <w:p w14:paraId="20643E06"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0.912</w:t>
            </w:r>
          </w:p>
          <w:p w14:paraId="20643E07"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(0.562 – 2.56)</w:t>
            </w:r>
          </w:p>
        </w:tc>
        <w:tc>
          <w:tcPr>
            <w:tcW w:w="1842" w:type="dxa"/>
            <w:shd w:val="clear" w:color="auto" w:fill="auto"/>
            <w:vAlign w:val="center"/>
          </w:tcPr>
          <w:p w14:paraId="20643E08"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0.883</w:t>
            </w:r>
          </w:p>
          <w:p w14:paraId="20643E09"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(0.393 – 1.54)</w:t>
            </w:r>
          </w:p>
        </w:tc>
        <w:tc>
          <w:tcPr>
            <w:tcW w:w="1276" w:type="dxa"/>
            <w:shd w:val="clear" w:color="auto" w:fill="auto"/>
            <w:vAlign w:val="center"/>
          </w:tcPr>
          <w:p w14:paraId="20643E0A"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0.881</w:t>
            </w:r>
          </w:p>
        </w:tc>
        <w:tc>
          <w:tcPr>
            <w:tcW w:w="1701" w:type="dxa"/>
            <w:shd w:val="clear" w:color="auto" w:fill="auto"/>
            <w:noWrap/>
            <w:vAlign w:val="center"/>
          </w:tcPr>
          <w:p w14:paraId="20643E0B"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0.2 – 0.5</w:t>
            </w:r>
          </w:p>
        </w:tc>
      </w:tr>
      <w:tr w:rsidR="00333AC0" w:rsidRPr="005B4AC6" w14:paraId="20643E14" w14:textId="77777777" w:rsidTr="00011A05">
        <w:trPr>
          <w:trHeight w:val="510"/>
        </w:trPr>
        <w:tc>
          <w:tcPr>
            <w:tcW w:w="1668" w:type="dxa"/>
            <w:shd w:val="clear" w:color="auto" w:fill="EAF1DD" w:themeFill="accent3" w:themeFillTint="33"/>
            <w:noWrap/>
            <w:vAlign w:val="center"/>
          </w:tcPr>
          <w:p w14:paraId="20643E0D"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all-</w:t>
            </w:r>
            <w:r w:rsidRPr="00FE45A4">
              <w:rPr>
                <w:rFonts w:cs="Arial"/>
                <w:i/>
                <w:color w:val="000000" w:themeColor="text1"/>
                <w:sz w:val="20"/>
                <w:szCs w:val="20"/>
              </w:rPr>
              <w:t>trans</w:t>
            </w:r>
            <w:r>
              <w:rPr>
                <w:rFonts w:cs="Arial"/>
                <w:color w:val="000000" w:themeColor="text1"/>
                <w:sz w:val="20"/>
                <w:szCs w:val="20"/>
              </w:rPr>
              <w:t>-β-carotene</w:t>
            </w:r>
          </w:p>
        </w:tc>
        <w:tc>
          <w:tcPr>
            <w:tcW w:w="1843" w:type="dxa"/>
            <w:shd w:val="clear" w:color="auto" w:fill="FDE9D9" w:themeFill="accent6" w:themeFillTint="33"/>
            <w:vAlign w:val="center"/>
          </w:tcPr>
          <w:p w14:paraId="20643E0E"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1.26</w:t>
            </w:r>
          </w:p>
          <w:p w14:paraId="20643E0F" w14:textId="77777777" w:rsidR="00333AC0" w:rsidRPr="00091397"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(0.504 – 2.35)</w:t>
            </w:r>
            <w:r>
              <w:rPr>
                <w:rFonts w:cs="Arial"/>
                <w:color w:val="000000" w:themeColor="text1"/>
                <w:sz w:val="18"/>
                <w:szCs w:val="18"/>
                <w:vertAlign w:val="superscript"/>
              </w:rPr>
              <w:t>3</w:t>
            </w:r>
          </w:p>
        </w:tc>
        <w:tc>
          <w:tcPr>
            <w:tcW w:w="1842" w:type="dxa"/>
            <w:shd w:val="clear" w:color="auto" w:fill="EAF1DD" w:themeFill="accent3" w:themeFillTint="33"/>
            <w:vAlign w:val="center"/>
          </w:tcPr>
          <w:p w14:paraId="20643E10"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&lt;LOQ</w:t>
            </w:r>
          </w:p>
          <w:p w14:paraId="20643E11" w14:textId="77777777" w:rsidR="00333AC0" w:rsidRPr="001F6233" w:rsidRDefault="00333AC0" w:rsidP="00011A05">
            <w:pPr>
              <w:jc w:val="center"/>
              <w:rPr>
                <w:rFonts w:cs="Arial"/>
                <w:color w:val="000000" w:themeColor="text1"/>
                <w:sz w:val="18"/>
                <w:szCs w:val="18"/>
              </w:rPr>
            </w:pPr>
            <w:r w:rsidRPr="001F6233">
              <w:rPr>
                <w:rFonts w:cs="Arial"/>
                <w:color w:val="000000" w:themeColor="text1"/>
                <w:sz w:val="18"/>
                <w:szCs w:val="18"/>
              </w:rPr>
              <w:t>(&lt;LOQ – 0.07)</w:t>
            </w:r>
          </w:p>
        </w:tc>
        <w:tc>
          <w:tcPr>
            <w:tcW w:w="1276" w:type="dxa"/>
            <w:shd w:val="clear" w:color="auto" w:fill="EAF1DD" w:themeFill="accent3" w:themeFillTint="33"/>
            <w:vAlign w:val="center"/>
          </w:tcPr>
          <w:p w14:paraId="20643E12"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Not determined</w:t>
            </w:r>
          </w:p>
        </w:tc>
        <w:tc>
          <w:tcPr>
            <w:tcW w:w="1701" w:type="dxa"/>
            <w:shd w:val="clear" w:color="auto" w:fill="EAF1DD" w:themeFill="accent3" w:themeFillTint="33"/>
            <w:noWrap/>
            <w:vAlign w:val="center"/>
          </w:tcPr>
          <w:p w14:paraId="20643E13"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Not reported</w:t>
            </w:r>
          </w:p>
        </w:tc>
      </w:tr>
      <w:tr w:rsidR="00333AC0" w:rsidRPr="005B4AC6" w14:paraId="20643E1C" w14:textId="77777777" w:rsidTr="00011A05">
        <w:trPr>
          <w:trHeight w:val="510"/>
        </w:trPr>
        <w:tc>
          <w:tcPr>
            <w:tcW w:w="1668" w:type="dxa"/>
            <w:shd w:val="clear" w:color="auto" w:fill="auto"/>
            <w:noWrap/>
            <w:vAlign w:val="center"/>
          </w:tcPr>
          <w:p w14:paraId="20643E15" w14:textId="77777777" w:rsidR="00333AC0" w:rsidRPr="00091397" w:rsidRDefault="00333AC0" w:rsidP="00011A05">
            <w:pPr>
              <w:jc w:val="center"/>
              <w:rPr>
                <w:rFonts w:cs="Arial"/>
                <w:color w:val="000000" w:themeColor="text1"/>
                <w:sz w:val="20"/>
                <w:szCs w:val="20"/>
              </w:rPr>
            </w:pPr>
            <w:r w:rsidRPr="00091397">
              <w:rPr>
                <w:rFonts w:cs="Arial"/>
                <w:color w:val="000000" w:themeColor="text1"/>
                <w:sz w:val="20"/>
                <w:szCs w:val="20"/>
              </w:rPr>
              <w:t>α-tocopherol</w:t>
            </w:r>
          </w:p>
        </w:tc>
        <w:tc>
          <w:tcPr>
            <w:tcW w:w="1843" w:type="dxa"/>
            <w:shd w:val="clear" w:color="auto" w:fill="auto"/>
            <w:vAlign w:val="center"/>
          </w:tcPr>
          <w:p w14:paraId="20643E16"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2.98</w:t>
            </w:r>
          </w:p>
          <w:p w14:paraId="20643E17"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(2.47 – 3.87)</w:t>
            </w:r>
          </w:p>
        </w:tc>
        <w:tc>
          <w:tcPr>
            <w:tcW w:w="1842" w:type="dxa"/>
            <w:shd w:val="clear" w:color="auto" w:fill="auto"/>
            <w:vAlign w:val="center"/>
          </w:tcPr>
          <w:p w14:paraId="20643E18"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2.75</w:t>
            </w:r>
          </w:p>
          <w:p w14:paraId="20643E19"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(2.1 – 3.5)</w:t>
            </w:r>
          </w:p>
        </w:tc>
        <w:tc>
          <w:tcPr>
            <w:tcW w:w="1276" w:type="dxa"/>
            <w:shd w:val="clear" w:color="auto" w:fill="auto"/>
            <w:vAlign w:val="center"/>
          </w:tcPr>
          <w:p w14:paraId="20643E1A"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0.3358</w:t>
            </w:r>
          </w:p>
        </w:tc>
        <w:tc>
          <w:tcPr>
            <w:tcW w:w="1701" w:type="dxa"/>
            <w:shd w:val="clear" w:color="auto" w:fill="auto"/>
            <w:noWrap/>
            <w:vAlign w:val="center"/>
          </w:tcPr>
          <w:p w14:paraId="20643E1B" w14:textId="77777777" w:rsidR="00333AC0" w:rsidRPr="00091397" w:rsidRDefault="00333AC0" w:rsidP="00011A05">
            <w:pPr>
              <w:jc w:val="center"/>
              <w:rPr>
                <w:rFonts w:cs="Arial"/>
                <w:color w:val="000000" w:themeColor="text1"/>
                <w:sz w:val="18"/>
                <w:szCs w:val="18"/>
              </w:rPr>
            </w:pPr>
            <w:r w:rsidRPr="00091397">
              <w:rPr>
                <w:rFonts w:cs="Arial"/>
                <w:color w:val="000000" w:themeColor="text1"/>
                <w:sz w:val="18"/>
                <w:szCs w:val="18"/>
              </w:rPr>
              <w:t>10 - 23</w:t>
            </w:r>
          </w:p>
        </w:tc>
      </w:tr>
    </w:tbl>
    <w:p w14:paraId="20643E1D" w14:textId="77777777" w:rsidR="00333AC0" w:rsidRPr="005B4AC6" w:rsidRDefault="00333AC0" w:rsidP="00011A05">
      <w:pPr>
        <w:autoSpaceDE w:val="0"/>
        <w:autoSpaceDN w:val="0"/>
        <w:adjustRightInd w:val="0"/>
        <w:rPr>
          <w:color w:val="000000" w:themeColor="text1"/>
          <w:sz w:val="18"/>
          <w:szCs w:val="18"/>
        </w:rPr>
      </w:pPr>
      <w:r w:rsidRPr="005B4AC6">
        <w:rPr>
          <w:color w:val="000000" w:themeColor="text1"/>
          <w:sz w:val="18"/>
          <w:szCs w:val="18"/>
          <w:vertAlign w:val="superscript"/>
        </w:rPr>
        <w:t>1</w:t>
      </w:r>
      <w:r>
        <w:rPr>
          <w:color w:val="000000" w:themeColor="text1"/>
          <w:sz w:val="18"/>
          <w:szCs w:val="18"/>
        </w:rPr>
        <w:t xml:space="preserve"> p</w:t>
      </w:r>
      <w:r w:rsidRPr="005B4AC6">
        <w:rPr>
          <w:color w:val="000000" w:themeColor="text1"/>
          <w:sz w:val="18"/>
          <w:szCs w:val="18"/>
        </w:rPr>
        <w:t>-values indicating significant differences are bolded and underlined.</w:t>
      </w:r>
    </w:p>
    <w:p w14:paraId="20643E1E" w14:textId="77777777" w:rsidR="00333AC0" w:rsidRPr="00091397" w:rsidRDefault="00333AC0" w:rsidP="00011A05">
      <w:pPr>
        <w:autoSpaceDE w:val="0"/>
        <w:autoSpaceDN w:val="0"/>
        <w:adjustRightInd w:val="0"/>
        <w:rPr>
          <w:color w:val="000000" w:themeColor="text1"/>
          <w:sz w:val="18"/>
          <w:szCs w:val="18"/>
        </w:rPr>
      </w:pPr>
      <w:r w:rsidRPr="00091397">
        <w:rPr>
          <w:color w:val="000000" w:themeColor="text1"/>
          <w:sz w:val="18"/>
          <w:szCs w:val="18"/>
          <w:vertAlign w:val="superscript"/>
        </w:rPr>
        <w:t xml:space="preserve">2 </w:t>
      </w:r>
      <w:r w:rsidRPr="00091397">
        <w:rPr>
          <w:color w:val="000000" w:themeColor="text1"/>
          <w:sz w:val="18"/>
          <w:szCs w:val="18"/>
        </w:rPr>
        <w:t xml:space="preserve">Literature range compiled from Juliano &amp; Bechtel </w:t>
      </w:r>
      <w:r w:rsidRPr="00091397">
        <w:rPr>
          <w:noProof/>
          <w:color w:val="000000" w:themeColor="text1"/>
          <w:sz w:val="18"/>
          <w:szCs w:val="18"/>
        </w:rPr>
        <w:t>(1985)</w:t>
      </w:r>
      <w:r w:rsidRPr="00091397">
        <w:rPr>
          <w:color w:val="000000" w:themeColor="text1"/>
          <w:sz w:val="18"/>
          <w:szCs w:val="18"/>
        </w:rPr>
        <w:t xml:space="preserve"> and ILSI </w:t>
      </w:r>
      <w:r w:rsidRPr="00091397">
        <w:rPr>
          <w:noProof/>
          <w:color w:val="000000" w:themeColor="text1"/>
          <w:sz w:val="18"/>
          <w:szCs w:val="18"/>
        </w:rPr>
        <w:t>(2014)</w:t>
      </w:r>
    </w:p>
    <w:p w14:paraId="20643E1F" w14:textId="77777777" w:rsidR="00333AC0" w:rsidRDefault="00333AC0">
      <w:pPr>
        <w:widowControl/>
        <w:rPr>
          <w:color w:val="000000" w:themeColor="text1"/>
          <w:sz w:val="18"/>
          <w:szCs w:val="18"/>
        </w:rPr>
      </w:pPr>
      <w:r w:rsidRPr="00091397">
        <w:rPr>
          <w:color w:val="000000" w:themeColor="text1"/>
          <w:sz w:val="18"/>
          <w:szCs w:val="18"/>
          <w:vertAlign w:val="superscript"/>
        </w:rPr>
        <w:t>3</w:t>
      </w:r>
      <w:r w:rsidRPr="00091397">
        <w:rPr>
          <w:color w:val="000000" w:themeColor="text1"/>
          <w:sz w:val="18"/>
          <w:szCs w:val="18"/>
        </w:rPr>
        <w:t xml:space="preserve"> Orange shading represen</w:t>
      </w:r>
      <w:r>
        <w:rPr>
          <w:color w:val="000000" w:themeColor="text1"/>
          <w:sz w:val="18"/>
          <w:szCs w:val="18"/>
        </w:rPr>
        <w:t>ts GR2E mean with a considerably</w:t>
      </w:r>
      <w:r w:rsidRPr="00091397">
        <w:rPr>
          <w:color w:val="000000" w:themeColor="text1"/>
          <w:sz w:val="18"/>
          <w:szCs w:val="18"/>
        </w:rPr>
        <w:t xml:space="preserve"> higher value than that for the Rc82 control</w:t>
      </w:r>
    </w:p>
    <w:p w14:paraId="20643E20" w14:textId="77777777" w:rsidR="00333AC0" w:rsidRPr="00FE45A4" w:rsidRDefault="00333AC0">
      <w:pPr>
        <w:widowControl/>
        <w:rPr>
          <w:color w:val="000000" w:themeColor="text1"/>
          <w:szCs w:val="22"/>
        </w:rPr>
      </w:pPr>
    </w:p>
    <w:p w14:paraId="20643E21" w14:textId="77777777" w:rsidR="00333AC0" w:rsidRPr="00B275D4" w:rsidRDefault="00333AC0">
      <w:pPr>
        <w:widowControl/>
        <w:rPr>
          <w:rFonts w:cs="Arial"/>
          <w:color w:val="000000" w:themeColor="text1"/>
          <w:szCs w:val="22"/>
        </w:rPr>
      </w:pPr>
      <w:r>
        <w:rPr>
          <w:rFonts w:cs="Arial"/>
          <w:color w:val="000000" w:themeColor="text1"/>
          <w:szCs w:val="22"/>
        </w:rPr>
        <w:t>A separate analysis of various carotenoids (including all-</w:t>
      </w:r>
      <w:r w:rsidRPr="0042150A">
        <w:rPr>
          <w:rFonts w:cs="Arial"/>
          <w:i/>
          <w:color w:val="000000" w:themeColor="text1"/>
          <w:szCs w:val="22"/>
        </w:rPr>
        <w:t>trans</w:t>
      </w:r>
      <w:r>
        <w:rPr>
          <w:rFonts w:cs="Arial"/>
          <w:color w:val="000000" w:themeColor="text1"/>
          <w:szCs w:val="22"/>
        </w:rPr>
        <w:t>-β-carotene) in milled and polished (white) rice prepared from the grains of GR2E and Rc82, grown under the same conditions as described for the other compositional analyses in this Section, was undertaken by the Applicant. It is noted that for this analysis a number of parameters were different from those used for the all-</w:t>
      </w:r>
      <w:r w:rsidRPr="0042150A">
        <w:rPr>
          <w:rFonts w:cs="Arial"/>
          <w:i/>
          <w:color w:val="000000" w:themeColor="text1"/>
          <w:szCs w:val="22"/>
        </w:rPr>
        <w:t>trans</w:t>
      </w:r>
      <w:r>
        <w:rPr>
          <w:rFonts w:cs="Arial"/>
          <w:color w:val="000000" w:themeColor="text1"/>
          <w:szCs w:val="22"/>
        </w:rPr>
        <w:t xml:space="preserve">-β-carotene analysis the results of which are given </w:t>
      </w:r>
      <w:r w:rsidRPr="00B275D4">
        <w:rPr>
          <w:rFonts w:cs="Arial"/>
          <w:color w:val="000000" w:themeColor="text1"/>
          <w:szCs w:val="22"/>
        </w:rPr>
        <w:t xml:space="preserve">in Table 11 and therefore it would not be unexpected to obtain different results. These differences included a) the sample matrix (i.e. paddy versus milled rice - typically </w:t>
      </w:r>
      <w:r w:rsidRPr="00B275D4">
        <w:rPr>
          <w:rFonts w:cs="Arial"/>
          <w:i/>
          <w:color w:val="000000" w:themeColor="text1"/>
          <w:szCs w:val="22"/>
        </w:rPr>
        <w:t>ca.</w:t>
      </w:r>
      <w:r w:rsidRPr="00B275D4">
        <w:rPr>
          <w:rFonts w:cs="Arial"/>
          <w:color w:val="000000" w:themeColor="text1"/>
          <w:szCs w:val="22"/>
        </w:rPr>
        <w:t xml:space="preserve"> 6.5 g of milled rice was produced from 10 g of paddy rice) and b) different extraction efficiencies between the Association of Official Analytical Chemists method used for β-carotene </w:t>
      </w:r>
      <w:r w:rsidRPr="00B275D4">
        <w:rPr>
          <w:rFonts w:cs="Arial"/>
          <w:noProof/>
          <w:color w:val="000000" w:themeColor="text1"/>
          <w:szCs w:val="22"/>
        </w:rPr>
        <w:t>(AOAC 2000)</w:t>
      </w:r>
      <w:r w:rsidRPr="00B275D4">
        <w:rPr>
          <w:rFonts w:cs="Arial"/>
          <w:color w:val="000000" w:themeColor="text1"/>
          <w:szCs w:val="22"/>
        </w:rPr>
        <w:t xml:space="preserve"> and the procedure used by IRRI for carotenoids which, in particular, involved a pre-incubation of the ground grains in water for 10 min at 60</w:t>
      </w:r>
      <w:r w:rsidRPr="00B275D4">
        <w:rPr>
          <w:rFonts w:cs="Arial"/>
          <w:color w:val="000000" w:themeColor="text1"/>
          <w:szCs w:val="22"/>
          <w:vertAlign w:val="superscript"/>
        </w:rPr>
        <w:t>o</w:t>
      </w:r>
      <w:r w:rsidRPr="00B275D4">
        <w:rPr>
          <w:rFonts w:cs="Arial"/>
          <w:color w:val="000000" w:themeColor="text1"/>
          <w:szCs w:val="22"/>
        </w:rPr>
        <w:t xml:space="preserve"> C in order to swell the starch and potentially improve extraction.</w:t>
      </w:r>
    </w:p>
    <w:p w14:paraId="20643E22" w14:textId="77777777" w:rsidR="00333AC0" w:rsidRPr="00B275D4" w:rsidRDefault="00333AC0">
      <w:pPr>
        <w:widowControl/>
        <w:rPr>
          <w:rFonts w:cs="Arial"/>
          <w:color w:val="000000" w:themeColor="text1"/>
          <w:szCs w:val="22"/>
        </w:rPr>
      </w:pPr>
    </w:p>
    <w:p w14:paraId="20643E23" w14:textId="77777777" w:rsidR="00333AC0" w:rsidRPr="00B275D4" w:rsidRDefault="00333AC0">
      <w:pPr>
        <w:widowControl/>
        <w:rPr>
          <w:rFonts w:cs="Arial"/>
          <w:color w:val="000000" w:themeColor="text1"/>
          <w:szCs w:val="22"/>
        </w:rPr>
      </w:pPr>
      <w:r w:rsidRPr="00B275D4">
        <w:rPr>
          <w:rFonts w:cs="Arial"/>
          <w:color w:val="000000" w:themeColor="text1"/>
          <w:szCs w:val="22"/>
        </w:rPr>
        <w:t>In addition to all-</w:t>
      </w:r>
      <w:r w:rsidRPr="00B275D4">
        <w:rPr>
          <w:rFonts w:cs="Arial"/>
          <w:i/>
          <w:color w:val="000000" w:themeColor="text1"/>
          <w:szCs w:val="22"/>
        </w:rPr>
        <w:t>trans</w:t>
      </w:r>
      <w:r w:rsidRPr="00B275D4">
        <w:rPr>
          <w:rFonts w:cs="Arial"/>
          <w:color w:val="000000" w:themeColor="text1"/>
          <w:szCs w:val="22"/>
        </w:rPr>
        <w:t>-β-carotene, the carotenoids chosen for analysis were:</w:t>
      </w:r>
    </w:p>
    <w:p w14:paraId="20643E24" w14:textId="77777777" w:rsidR="00333AC0" w:rsidRPr="00B275D4" w:rsidRDefault="00333AC0" w:rsidP="0022311E">
      <w:pPr>
        <w:pStyle w:val="ListParagraph"/>
        <w:widowControl/>
        <w:numPr>
          <w:ilvl w:val="0"/>
          <w:numId w:val="18"/>
        </w:numPr>
        <w:ind w:left="567" w:hanging="567"/>
        <w:rPr>
          <w:rFonts w:cs="Arial"/>
          <w:color w:val="000000" w:themeColor="text1"/>
          <w:szCs w:val="22"/>
        </w:rPr>
      </w:pPr>
      <w:r w:rsidRPr="00B275D4">
        <w:rPr>
          <w:rFonts w:cs="Arial"/>
          <w:color w:val="000000" w:themeColor="text1"/>
          <w:szCs w:val="22"/>
        </w:rPr>
        <w:t>all-</w:t>
      </w:r>
      <w:r w:rsidRPr="00B275D4">
        <w:rPr>
          <w:rFonts w:cs="Arial"/>
          <w:i/>
          <w:color w:val="000000" w:themeColor="text1"/>
          <w:szCs w:val="22"/>
        </w:rPr>
        <w:t>trans</w:t>
      </w:r>
      <w:r w:rsidRPr="00B275D4">
        <w:rPr>
          <w:rFonts w:cs="Arial"/>
          <w:color w:val="000000" w:themeColor="text1"/>
          <w:szCs w:val="22"/>
        </w:rPr>
        <w:t>-α-carotene. Lycopene cyclases are normally present in the endosperm of non-GM rice grains (see Figure 6) and drive the formation of either all-</w:t>
      </w:r>
      <w:r w:rsidRPr="00B275D4">
        <w:rPr>
          <w:rFonts w:cs="Arial"/>
          <w:i/>
          <w:color w:val="000000" w:themeColor="text1"/>
          <w:szCs w:val="22"/>
        </w:rPr>
        <w:t>trans</w:t>
      </w:r>
      <w:r w:rsidRPr="00B275D4">
        <w:rPr>
          <w:rFonts w:cs="Arial"/>
          <w:color w:val="000000" w:themeColor="text1"/>
          <w:szCs w:val="22"/>
        </w:rPr>
        <w:t>-α-carotene or all-</w:t>
      </w:r>
      <w:r w:rsidRPr="00B275D4">
        <w:rPr>
          <w:rFonts w:cs="Arial"/>
          <w:i/>
          <w:color w:val="000000" w:themeColor="text1"/>
          <w:szCs w:val="22"/>
        </w:rPr>
        <w:t>trans</w:t>
      </w:r>
      <w:r w:rsidRPr="00B275D4">
        <w:rPr>
          <w:rFonts w:cs="Arial"/>
          <w:color w:val="000000" w:themeColor="text1"/>
          <w:szCs w:val="22"/>
        </w:rPr>
        <w:t>-β-carotene.</w:t>
      </w:r>
    </w:p>
    <w:p w14:paraId="20643E25" w14:textId="77777777" w:rsidR="00333AC0" w:rsidRPr="00B275D4" w:rsidRDefault="00333AC0" w:rsidP="0022311E">
      <w:pPr>
        <w:pStyle w:val="ListParagraph"/>
        <w:widowControl/>
        <w:numPr>
          <w:ilvl w:val="0"/>
          <w:numId w:val="18"/>
        </w:numPr>
        <w:ind w:left="567" w:hanging="567"/>
        <w:rPr>
          <w:rFonts w:cs="Arial"/>
          <w:color w:val="000000" w:themeColor="text1"/>
          <w:szCs w:val="22"/>
        </w:rPr>
      </w:pPr>
      <w:r w:rsidRPr="00B275D4">
        <w:rPr>
          <w:rFonts w:cs="Arial"/>
          <w:color w:val="000000" w:themeColor="text1"/>
          <w:szCs w:val="22"/>
        </w:rPr>
        <w:t>9’-</w:t>
      </w:r>
      <w:r w:rsidRPr="00B275D4">
        <w:rPr>
          <w:rFonts w:cs="Arial"/>
          <w:i/>
          <w:color w:val="000000" w:themeColor="text1"/>
          <w:szCs w:val="22"/>
        </w:rPr>
        <w:t>cis</w:t>
      </w:r>
      <w:r w:rsidRPr="00B275D4">
        <w:rPr>
          <w:rFonts w:cs="Arial"/>
          <w:color w:val="000000" w:themeColor="text1"/>
          <w:szCs w:val="22"/>
        </w:rPr>
        <w:t xml:space="preserve">-β-carotene. Naturally produced β-carotene contains a mixture of </w:t>
      </w:r>
      <w:r w:rsidRPr="00B275D4">
        <w:rPr>
          <w:rFonts w:cs="Arial"/>
          <w:i/>
          <w:color w:val="000000" w:themeColor="text1"/>
          <w:szCs w:val="22"/>
        </w:rPr>
        <w:t>cis</w:t>
      </w:r>
      <w:r w:rsidRPr="00B275D4">
        <w:rPr>
          <w:rFonts w:cs="Arial"/>
          <w:color w:val="000000" w:themeColor="text1"/>
          <w:szCs w:val="22"/>
        </w:rPr>
        <w:t xml:space="preserve"> and </w:t>
      </w:r>
      <w:r w:rsidRPr="00B275D4">
        <w:rPr>
          <w:rFonts w:cs="Arial"/>
          <w:i/>
          <w:color w:val="000000" w:themeColor="text1"/>
          <w:szCs w:val="22"/>
        </w:rPr>
        <w:t>trans</w:t>
      </w:r>
      <w:r w:rsidRPr="00B275D4">
        <w:rPr>
          <w:rFonts w:cs="Arial"/>
          <w:color w:val="000000" w:themeColor="text1"/>
          <w:szCs w:val="22"/>
        </w:rPr>
        <w:t xml:space="preserve"> isomers. In some foods such as raw carrot, the trans isomer makes up as much as 98% of the β-carotene.</w:t>
      </w:r>
    </w:p>
    <w:p w14:paraId="20643E26" w14:textId="77777777" w:rsidR="00333AC0" w:rsidRPr="00B275D4" w:rsidRDefault="00333AC0" w:rsidP="0022311E">
      <w:pPr>
        <w:pStyle w:val="ListParagraph"/>
        <w:widowControl/>
        <w:numPr>
          <w:ilvl w:val="0"/>
          <w:numId w:val="18"/>
        </w:numPr>
        <w:ind w:left="567" w:hanging="567"/>
        <w:rPr>
          <w:rFonts w:cs="Arial"/>
          <w:color w:val="000000" w:themeColor="text1"/>
          <w:szCs w:val="22"/>
        </w:rPr>
      </w:pPr>
      <w:r w:rsidRPr="00B275D4">
        <w:rPr>
          <w:rFonts w:cs="Arial"/>
          <w:color w:val="000000" w:themeColor="text1"/>
          <w:szCs w:val="22"/>
        </w:rPr>
        <w:t xml:space="preserve">β-cryptoxanthin. This is the next step from β-carotene in the biosynthesis of xanthophylls and is produced from β-carotene by the action of the enzyme </w:t>
      </w:r>
      <w:r w:rsidRPr="00B275D4">
        <w:rPr>
          <w:rFonts w:cs="Arial"/>
          <w:szCs w:val="22"/>
          <w:lang w:val="en"/>
        </w:rPr>
        <w:t xml:space="preserve">carotenoid β-hydroxylase. Like </w:t>
      </w:r>
      <w:r w:rsidRPr="00B275D4">
        <w:rPr>
          <w:rFonts w:cs="Arial"/>
          <w:color w:val="000000" w:themeColor="text1"/>
          <w:szCs w:val="22"/>
        </w:rPr>
        <w:t>β-carotene it is a pre-cursor of vitamin A, and β-cryptoxanthin</w:t>
      </w:r>
      <w:r w:rsidRPr="00B275D4">
        <w:rPr>
          <w:rFonts w:cs="Arial"/>
          <w:szCs w:val="22"/>
          <w:lang w:val="en-US" w:eastAsia="en-GB" w:bidi="ar-SA"/>
        </w:rPr>
        <w:t xml:space="preserve"> -rich foods are regarded as equivalent to β-carotene-rich foods as sources of vitamin A </w:t>
      </w:r>
      <w:r w:rsidRPr="00B275D4">
        <w:rPr>
          <w:rFonts w:cs="Arial"/>
          <w:noProof/>
          <w:szCs w:val="22"/>
          <w:lang w:val="en-US" w:eastAsia="en-GB" w:bidi="ar-SA"/>
        </w:rPr>
        <w:t>(Burri 2015)</w:t>
      </w:r>
      <w:r w:rsidRPr="00B275D4">
        <w:rPr>
          <w:rFonts w:cs="Arial"/>
          <w:szCs w:val="22"/>
          <w:lang w:val="en-US" w:eastAsia="en-GB" w:bidi="ar-SA"/>
        </w:rPr>
        <w:t>.</w:t>
      </w:r>
    </w:p>
    <w:p w14:paraId="20643E27" w14:textId="77777777" w:rsidR="00333AC0" w:rsidRPr="00B275D4" w:rsidRDefault="00333AC0" w:rsidP="0022311E">
      <w:pPr>
        <w:pStyle w:val="ListParagraph"/>
        <w:widowControl/>
        <w:numPr>
          <w:ilvl w:val="0"/>
          <w:numId w:val="18"/>
        </w:numPr>
        <w:ind w:left="567" w:hanging="567"/>
        <w:rPr>
          <w:rFonts w:cs="Arial"/>
          <w:color w:val="000000" w:themeColor="text1"/>
          <w:szCs w:val="22"/>
        </w:rPr>
      </w:pPr>
      <w:r w:rsidRPr="00B275D4">
        <w:rPr>
          <w:rFonts w:cs="Arial"/>
          <w:color w:val="000000" w:themeColor="text1"/>
          <w:szCs w:val="22"/>
        </w:rPr>
        <w:t>Total carotenoids.</w:t>
      </w:r>
    </w:p>
    <w:p w14:paraId="20643E28" w14:textId="77777777" w:rsidR="00333AC0" w:rsidRPr="00B275D4" w:rsidRDefault="00333AC0">
      <w:pPr>
        <w:widowControl/>
        <w:rPr>
          <w:rFonts w:cs="Arial"/>
          <w:color w:val="000000" w:themeColor="text1"/>
          <w:szCs w:val="22"/>
        </w:rPr>
      </w:pPr>
    </w:p>
    <w:p w14:paraId="20643E29" w14:textId="77777777" w:rsidR="00333AC0" w:rsidRPr="00B275D4" w:rsidRDefault="00333AC0">
      <w:pPr>
        <w:widowControl/>
        <w:rPr>
          <w:rFonts w:cs="Arial"/>
          <w:color w:val="000000" w:themeColor="text1"/>
          <w:szCs w:val="22"/>
        </w:rPr>
      </w:pPr>
      <w:r w:rsidRPr="00B275D4">
        <w:rPr>
          <w:rFonts w:cs="Arial"/>
          <w:color w:val="000000" w:themeColor="text1"/>
          <w:szCs w:val="22"/>
        </w:rPr>
        <w:t>The results from the IRRI analysis are given in Table 12. For the same reason as given for the β-carotene result in Table 11, no statistical analysis could be performed because levels of all the carotenoids in the control were below the LOQ. However, the levels of all carotenoids were considerably higher in GR2E than in the control. The results also show in GR2E:</w:t>
      </w:r>
    </w:p>
    <w:p w14:paraId="20643E2A" w14:textId="77777777" w:rsidR="00333AC0" w:rsidRPr="00B275D4" w:rsidRDefault="00333AC0">
      <w:pPr>
        <w:widowControl/>
        <w:rPr>
          <w:rFonts w:cs="Arial"/>
          <w:color w:val="000000" w:themeColor="text1"/>
          <w:szCs w:val="22"/>
        </w:rPr>
      </w:pPr>
    </w:p>
    <w:p w14:paraId="20643E2B" w14:textId="77777777" w:rsidR="00333AC0" w:rsidRPr="00B275D4" w:rsidRDefault="00333AC0" w:rsidP="0022311E">
      <w:pPr>
        <w:pStyle w:val="ListParagraph"/>
        <w:widowControl/>
        <w:numPr>
          <w:ilvl w:val="0"/>
          <w:numId w:val="19"/>
        </w:numPr>
        <w:ind w:left="567" w:hanging="567"/>
        <w:rPr>
          <w:rFonts w:cs="Arial"/>
          <w:color w:val="000000" w:themeColor="text1"/>
          <w:szCs w:val="22"/>
        </w:rPr>
      </w:pPr>
      <w:r w:rsidRPr="00B275D4">
        <w:rPr>
          <w:rFonts w:cs="Arial"/>
          <w:color w:val="000000" w:themeColor="text1"/>
          <w:szCs w:val="22"/>
        </w:rPr>
        <w:t>The pathway of carotene synthesis is pushed towards production of β-carotene which comprises some 60% of the total carotenoids in the endosperm.</w:t>
      </w:r>
    </w:p>
    <w:p w14:paraId="20643E2C" w14:textId="77777777" w:rsidR="00333AC0" w:rsidRPr="00B275D4" w:rsidRDefault="00333AC0" w:rsidP="0022311E">
      <w:pPr>
        <w:pStyle w:val="ListParagraph"/>
        <w:widowControl/>
        <w:numPr>
          <w:ilvl w:val="0"/>
          <w:numId w:val="19"/>
        </w:numPr>
        <w:ind w:left="567" w:hanging="567"/>
        <w:rPr>
          <w:rFonts w:cs="Arial"/>
          <w:color w:val="000000" w:themeColor="text1"/>
          <w:szCs w:val="22"/>
        </w:rPr>
      </w:pPr>
      <w:r w:rsidRPr="00B275D4">
        <w:rPr>
          <w:rFonts w:cs="Arial"/>
          <w:color w:val="000000" w:themeColor="text1"/>
          <w:szCs w:val="22"/>
        </w:rPr>
        <w:t xml:space="preserve">The predominant β-carotene isomer is in the </w:t>
      </w:r>
      <w:r w:rsidRPr="00B275D4">
        <w:rPr>
          <w:rFonts w:cs="Arial"/>
          <w:i/>
          <w:color w:val="000000" w:themeColor="text1"/>
          <w:szCs w:val="22"/>
        </w:rPr>
        <w:t>trans</w:t>
      </w:r>
      <w:r w:rsidRPr="00B275D4">
        <w:rPr>
          <w:rFonts w:cs="Arial"/>
          <w:color w:val="000000" w:themeColor="text1"/>
          <w:szCs w:val="22"/>
        </w:rPr>
        <w:t xml:space="preserve"> form.</w:t>
      </w:r>
    </w:p>
    <w:p w14:paraId="20643E2D" w14:textId="77777777" w:rsidR="00333AC0" w:rsidRPr="00B275D4" w:rsidRDefault="00333AC0" w:rsidP="0022311E">
      <w:pPr>
        <w:pStyle w:val="ListParagraph"/>
        <w:widowControl/>
        <w:numPr>
          <w:ilvl w:val="0"/>
          <w:numId w:val="19"/>
        </w:numPr>
        <w:ind w:left="567" w:hanging="567"/>
        <w:rPr>
          <w:rFonts w:cs="Arial"/>
          <w:color w:val="000000" w:themeColor="text1"/>
          <w:szCs w:val="22"/>
        </w:rPr>
      </w:pPr>
      <w:r w:rsidRPr="00B275D4">
        <w:rPr>
          <w:rFonts w:cs="Arial"/>
          <w:color w:val="000000" w:themeColor="text1"/>
          <w:szCs w:val="22"/>
        </w:rPr>
        <w:t>Little β-carotene is converted to β-cryptoxanthin.</w:t>
      </w:r>
    </w:p>
    <w:p w14:paraId="20643E2E" w14:textId="77777777" w:rsidR="00333AC0" w:rsidRPr="00B275D4" w:rsidRDefault="00333AC0" w:rsidP="0022311E">
      <w:pPr>
        <w:pStyle w:val="ListParagraph"/>
        <w:widowControl/>
        <w:numPr>
          <w:ilvl w:val="0"/>
          <w:numId w:val="19"/>
        </w:numPr>
        <w:ind w:left="567" w:hanging="567"/>
        <w:rPr>
          <w:rFonts w:cs="Arial"/>
          <w:color w:val="000000" w:themeColor="text1"/>
          <w:szCs w:val="22"/>
        </w:rPr>
      </w:pPr>
      <w:r w:rsidRPr="00B275D4">
        <w:rPr>
          <w:rFonts w:cs="Arial"/>
          <w:color w:val="000000" w:themeColor="text1"/>
          <w:szCs w:val="22"/>
        </w:rPr>
        <w:t xml:space="preserve">The mean level of β-carotene reported in this analysis is </w:t>
      </w:r>
      <w:r w:rsidRPr="00B275D4">
        <w:rPr>
          <w:rFonts w:cs="Arial"/>
          <w:i/>
          <w:color w:val="000000" w:themeColor="text1"/>
          <w:szCs w:val="22"/>
        </w:rPr>
        <w:t>ca.</w:t>
      </w:r>
      <w:r w:rsidRPr="00B275D4">
        <w:rPr>
          <w:rFonts w:cs="Arial"/>
          <w:color w:val="000000" w:themeColor="text1"/>
          <w:szCs w:val="22"/>
        </w:rPr>
        <w:t xml:space="preserve"> 3x higher than that reported in Table 11. Possible reasons for this have been discussed above.</w:t>
      </w:r>
    </w:p>
    <w:p w14:paraId="20643E2F" w14:textId="77777777" w:rsidR="00333AC0" w:rsidRPr="00144D8C" w:rsidRDefault="00333AC0" w:rsidP="00011A05">
      <w:pPr>
        <w:widowControl/>
        <w:rPr>
          <w:rFonts w:cs="Arial"/>
          <w:color w:val="000000" w:themeColor="text1"/>
          <w:szCs w:val="22"/>
        </w:rPr>
      </w:pPr>
    </w:p>
    <w:p w14:paraId="20643E30" w14:textId="77777777" w:rsidR="00333AC0" w:rsidRDefault="00333AC0" w:rsidP="00011A05">
      <w:pPr>
        <w:pStyle w:val="Caption"/>
        <w:keepNext/>
        <w:ind w:left="1134" w:hanging="1134"/>
        <w:rPr>
          <w:sz w:val="22"/>
          <w:szCs w:val="22"/>
        </w:rPr>
      </w:pPr>
      <w:bookmarkStart w:id="61" w:name="_Toc487212011"/>
      <w:r w:rsidRPr="00591942">
        <w:rPr>
          <w:sz w:val="22"/>
          <w:szCs w:val="22"/>
        </w:rPr>
        <w:t xml:space="preserve">Table </w:t>
      </w:r>
      <w:r w:rsidRPr="00591942">
        <w:rPr>
          <w:sz w:val="22"/>
          <w:szCs w:val="22"/>
        </w:rPr>
        <w:fldChar w:fldCharType="begin"/>
      </w:r>
      <w:r w:rsidRPr="00591942">
        <w:rPr>
          <w:sz w:val="22"/>
          <w:szCs w:val="22"/>
        </w:rPr>
        <w:instrText xml:space="preserve"> SEQ Table \* ARABIC </w:instrText>
      </w:r>
      <w:r w:rsidRPr="00591942">
        <w:rPr>
          <w:sz w:val="22"/>
          <w:szCs w:val="22"/>
        </w:rPr>
        <w:fldChar w:fldCharType="separate"/>
      </w:r>
      <w:r w:rsidR="00286242">
        <w:rPr>
          <w:noProof/>
          <w:sz w:val="22"/>
          <w:szCs w:val="22"/>
        </w:rPr>
        <w:t>12</w:t>
      </w:r>
      <w:r w:rsidRPr="00591942">
        <w:rPr>
          <w:sz w:val="22"/>
          <w:szCs w:val="22"/>
        </w:rPr>
        <w:fldChar w:fldCharType="end"/>
      </w:r>
      <w:r w:rsidRPr="00591942">
        <w:rPr>
          <w:sz w:val="22"/>
          <w:szCs w:val="22"/>
        </w:rPr>
        <w:t xml:space="preserve">: </w:t>
      </w:r>
      <w:r>
        <w:rPr>
          <w:sz w:val="22"/>
          <w:szCs w:val="22"/>
        </w:rPr>
        <w:t>M</w:t>
      </w:r>
      <w:r w:rsidRPr="00591942">
        <w:rPr>
          <w:sz w:val="22"/>
          <w:szCs w:val="22"/>
        </w:rPr>
        <w:t xml:space="preserve">ean </w:t>
      </w:r>
      <w:r>
        <w:rPr>
          <w:sz w:val="22"/>
          <w:szCs w:val="22"/>
        </w:rPr>
        <w:t xml:space="preserve">(range) </w:t>
      </w:r>
      <w:r w:rsidRPr="00591942">
        <w:rPr>
          <w:sz w:val="22"/>
          <w:szCs w:val="22"/>
        </w:rPr>
        <w:t>carotenoid leve</w:t>
      </w:r>
      <w:r>
        <w:rPr>
          <w:sz w:val="22"/>
          <w:szCs w:val="22"/>
        </w:rPr>
        <w:t>ls in milled rice grain collected</w:t>
      </w:r>
      <w:r w:rsidRPr="00591942">
        <w:rPr>
          <w:sz w:val="22"/>
          <w:szCs w:val="22"/>
        </w:rPr>
        <w:t xml:space="preserve"> from GR2</w:t>
      </w:r>
      <w:r>
        <w:rPr>
          <w:sz w:val="22"/>
          <w:szCs w:val="22"/>
        </w:rPr>
        <w:t>E and the Rc82 control</w:t>
      </w:r>
      <w:r w:rsidRPr="00591942">
        <w:rPr>
          <w:sz w:val="22"/>
          <w:szCs w:val="22"/>
        </w:rPr>
        <w:t xml:space="preserve"> over two growing seasons and four locations</w:t>
      </w:r>
      <w:bookmarkEnd w:id="61"/>
    </w:p>
    <w:p w14:paraId="20643E31" w14:textId="77777777" w:rsidR="00333AC0" w:rsidRPr="00591942" w:rsidRDefault="00333AC0" w:rsidP="00011A05">
      <w:pPr>
        <w:rPr>
          <w:lang w:val="en-AU" w:bidi="ar-SA"/>
        </w:rPr>
      </w:pPr>
    </w:p>
    <w:tbl>
      <w:tblPr>
        <w:tblW w:w="6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2: Mean (range) carotenoid levels in milled rice grain collected from GR2E and the Rc82 control over two growing seasons and four locations"/>
      </w:tblPr>
      <w:tblGrid>
        <w:gridCol w:w="2392"/>
        <w:gridCol w:w="1843"/>
        <w:gridCol w:w="1842"/>
      </w:tblGrid>
      <w:tr w:rsidR="00333AC0" w:rsidRPr="005B4AC6" w14:paraId="20643E37" w14:textId="77777777" w:rsidTr="009E085C">
        <w:trPr>
          <w:trHeight w:val="880"/>
          <w:tblHeader/>
          <w:jc w:val="center"/>
        </w:trPr>
        <w:tc>
          <w:tcPr>
            <w:tcW w:w="2392" w:type="dxa"/>
            <w:tcBorders>
              <w:bottom w:val="single" w:sz="4" w:space="0" w:color="auto"/>
            </w:tcBorders>
            <w:shd w:val="clear" w:color="auto" w:fill="9BBB59" w:themeFill="accent3"/>
            <w:noWrap/>
            <w:vAlign w:val="center"/>
          </w:tcPr>
          <w:p w14:paraId="20643E32" w14:textId="77777777" w:rsidR="00333AC0" w:rsidRPr="008E099B" w:rsidRDefault="00333AC0" w:rsidP="00011A05">
            <w:pPr>
              <w:jc w:val="center"/>
              <w:rPr>
                <w:rFonts w:cs="Arial"/>
                <w:b/>
                <w:bCs/>
                <w:color w:val="FFFFFF" w:themeColor="background1"/>
                <w:sz w:val="18"/>
                <w:szCs w:val="18"/>
              </w:rPr>
            </w:pPr>
            <w:r>
              <w:rPr>
                <w:rFonts w:cs="Arial"/>
                <w:b/>
                <w:bCs/>
                <w:color w:val="FFFFFF" w:themeColor="background1"/>
                <w:sz w:val="18"/>
                <w:szCs w:val="18"/>
              </w:rPr>
              <w:t>Carotenoid</w:t>
            </w:r>
          </w:p>
        </w:tc>
        <w:tc>
          <w:tcPr>
            <w:tcW w:w="1843" w:type="dxa"/>
            <w:tcBorders>
              <w:bottom w:val="single" w:sz="4" w:space="0" w:color="auto"/>
            </w:tcBorders>
            <w:shd w:val="clear" w:color="auto" w:fill="9BBB59" w:themeFill="accent3"/>
            <w:vAlign w:val="center"/>
          </w:tcPr>
          <w:p w14:paraId="20643E33"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GR2E</w:t>
            </w:r>
          </w:p>
          <w:p w14:paraId="20643E34" w14:textId="77777777" w:rsidR="00333AC0" w:rsidRPr="008E099B"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(μg/</w:t>
            </w:r>
            <w:r w:rsidRPr="008E099B">
              <w:rPr>
                <w:rFonts w:eastAsiaTheme="minorHAnsi" w:cs="Arial"/>
                <w:b/>
                <w:color w:val="FFFFFF" w:themeColor="background1"/>
                <w:sz w:val="18"/>
                <w:szCs w:val="18"/>
              </w:rPr>
              <w:t>g dw)</w:t>
            </w:r>
          </w:p>
        </w:tc>
        <w:tc>
          <w:tcPr>
            <w:tcW w:w="1842" w:type="dxa"/>
            <w:tcBorders>
              <w:bottom w:val="single" w:sz="4" w:space="0" w:color="auto"/>
            </w:tcBorders>
            <w:shd w:val="clear" w:color="auto" w:fill="9BBB59" w:themeFill="accent3"/>
            <w:vAlign w:val="center"/>
          </w:tcPr>
          <w:p w14:paraId="20643E35"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 xml:space="preserve">Control </w:t>
            </w:r>
          </w:p>
          <w:p w14:paraId="20643E36" w14:textId="77777777" w:rsidR="00333AC0" w:rsidRPr="008E099B" w:rsidRDefault="00333AC0" w:rsidP="00011A05">
            <w:pPr>
              <w:jc w:val="center"/>
              <w:rPr>
                <w:rFonts w:eastAsiaTheme="minorHAnsi" w:cs="Arial"/>
                <w:b/>
                <w:color w:val="FFFFFF" w:themeColor="background1"/>
                <w:sz w:val="18"/>
                <w:szCs w:val="18"/>
              </w:rPr>
            </w:pPr>
            <w:r>
              <w:rPr>
                <w:rFonts w:eastAsiaTheme="minorHAnsi" w:cs="Arial"/>
                <w:b/>
                <w:color w:val="FFFFFF" w:themeColor="background1"/>
                <w:sz w:val="18"/>
                <w:szCs w:val="18"/>
              </w:rPr>
              <w:t>(μg/</w:t>
            </w:r>
            <w:r w:rsidRPr="008E099B">
              <w:rPr>
                <w:rFonts w:eastAsiaTheme="minorHAnsi" w:cs="Arial"/>
                <w:b/>
                <w:color w:val="FFFFFF" w:themeColor="background1"/>
                <w:sz w:val="18"/>
                <w:szCs w:val="18"/>
              </w:rPr>
              <w:t>g dw)</w:t>
            </w:r>
          </w:p>
        </w:tc>
      </w:tr>
      <w:tr w:rsidR="00333AC0" w:rsidRPr="005B4AC6" w14:paraId="20643E3C" w14:textId="77777777" w:rsidTr="009E085C">
        <w:trPr>
          <w:trHeight w:val="510"/>
          <w:jc w:val="center"/>
        </w:trPr>
        <w:tc>
          <w:tcPr>
            <w:tcW w:w="2392" w:type="dxa"/>
            <w:shd w:val="clear" w:color="auto" w:fill="EAF1DD" w:themeFill="accent3" w:themeFillTint="33"/>
            <w:noWrap/>
            <w:vAlign w:val="center"/>
          </w:tcPr>
          <w:p w14:paraId="20643E38"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all-</w:t>
            </w:r>
            <w:r w:rsidRPr="00FE45A4">
              <w:rPr>
                <w:rFonts w:cs="Arial"/>
                <w:i/>
                <w:color w:val="000000" w:themeColor="text1"/>
                <w:sz w:val="20"/>
                <w:szCs w:val="20"/>
              </w:rPr>
              <w:t>trans</w:t>
            </w:r>
            <w:r>
              <w:rPr>
                <w:rFonts w:cs="Arial"/>
                <w:color w:val="000000" w:themeColor="text1"/>
                <w:sz w:val="20"/>
                <w:szCs w:val="20"/>
              </w:rPr>
              <w:t>-α-carotene</w:t>
            </w:r>
          </w:p>
        </w:tc>
        <w:tc>
          <w:tcPr>
            <w:tcW w:w="1843" w:type="dxa"/>
            <w:shd w:val="clear" w:color="auto" w:fill="FDE9D9" w:themeFill="accent6" w:themeFillTint="33"/>
            <w:vAlign w:val="center"/>
          </w:tcPr>
          <w:p w14:paraId="20643E39"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0.713</w:t>
            </w:r>
          </w:p>
          <w:p w14:paraId="20643E3A" w14:textId="77777777" w:rsidR="00333AC0" w:rsidRPr="00C74F44"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w:t>
            </w:r>
            <w:r>
              <w:rPr>
                <w:rFonts w:cs="Arial"/>
                <w:color w:val="000000" w:themeColor="text1"/>
                <w:sz w:val="18"/>
                <w:szCs w:val="18"/>
              </w:rPr>
              <w:t>0.35 – 1.32</w:t>
            </w:r>
            <w:r w:rsidRPr="001F6233">
              <w:rPr>
                <w:rFonts w:cs="Arial"/>
                <w:color w:val="000000" w:themeColor="text1"/>
                <w:sz w:val="18"/>
                <w:szCs w:val="18"/>
              </w:rPr>
              <w:t>)</w:t>
            </w:r>
            <w:r>
              <w:rPr>
                <w:rFonts w:cs="Arial"/>
                <w:color w:val="000000" w:themeColor="text1"/>
                <w:sz w:val="18"/>
                <w:szCs w:val="18"/>
                <w:vertAlign w:val="superscript"/>
              </w:rPr>
              <w:t>1</w:t>
            </w:r>
          </w:p>
        </w:tc>
        <w:tc>
          <w:tcPr>
            <w:tcW w:w="1842" w:type="dxa"/>
            <w:shd w:val="clear" w:color="auto" w:fill="EAF1DD" w:themeFill="accent3" w:themeFillTint="33"/>
            <w:vAlign w:val="center"/>
          </w:tcPr>
          <w:p w14:paraId="20643E3B" w14:textId="77777777" w:rsidR="00333AC0" w:rsidRPr="001F6233" w:rsidRDefault="00333AC0" w:rsidP="00011A05">
            <w:pPr>
              <w:jc w:val="center"/>
              <w:rPr>
                <w:rFonts w:cs="Arial"/>
                <w:color w:val="000000" w:themeColor="text1"/>
                <w:sz w:val="18"/>
                <w:szCs w:val="18"/>
              </w:rPr>
            </w:pPr>
            <w:r w:rsidRPr="00822646">
              <w:rPr>
                <w:rFonts w:cs="Arial"/>
                <w:color w:val="000000" w:themeColor="text1"/>
                <w:sz w:val="18"/>
                <w:szCs w:val="18"/>
              </w:rPr>
              <w:t>&lt;LOQ</w:t>
            </w:r>
          </w:p>
        </w:tc>
      </w:tr>
      <w:tr w:rsidR="00333AC0" w:rsidRPr="005B4AC6" w14:paraId="20643E41" w14:textId="77777777" w:rsidTr="009E085C">
        <w:trPr>
          <w:trHeight w:val="510"/>
          <w:jc w:val="center"/>
        </w:trPr>
        <w:tc>
          <w:tcPr>
            <w:tcW w:w="2392" w:type="dxa"/>
            <w:shd w:val="clear" w:color="auto" w:fill="auto"/>
            <w:noWrap/>
            <w:vAlign w:val="center"/>
          </w:tcPr>
          <w:p w14:paraId="20643E3D"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all-</w:t>
            </w:r>
            <w:r w:rsidRPr="00FE45A4">
              <w:rPr>
                <w:rFonts w:cs="Arial"/>
                <w:i/>
                <w:color w:val="000000" w:themeColor="text1"/>
                <w:sz w:val="20"/>
                <w:szCs w:val="20"/>
              </w:rPr>
              <w:t>trans</w:t>
            </w:r>
            <w:r>
              <w:rPr>
                <w:rFonts w:cs="Arial"/>
                <w:color w:val="000000" w:themeColor="text1"/>
                <w:sz w:val="20"/>
                <w:szCs w:val="20"/>
              </w:rPr>
              <w:t>-β-carotene</w:t>
            </w:r>
          </w:p>
        </w:tc>
        <w:tc>
          <w:tcPr>
            <w:tcW w:w="1843" w:type="dxa"/>
            <w:shd w:val="clear" w:color="auto" w:fill="FDE9D9" w:themeFill="accent6" w:themeFillTint="33"/>
            <w:vAlign w:val="center"/>
          </w:tcPr>
          <w:p w14:paraId="20643E3E"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3.57</w:t>
            </w:r>
          </w:p>
          <w:p w14:paraId="20643E3F" w14:textId="77777777" w:rsidR="00333AC0" w:rsidRPr="00C74F44"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w:t>
            </w:r>
            <w:r>
              <w:rPr>
                <w:rFonts w:cs="Arial"/>
                <w:color w:val="000000" w:themeColor="text1"/>
                <w:sz w:val="18"/>
                <w:szCs w:val="18"/>
              </w:rPr>
              <w:t>1.96 – 7.31</w:t>
            </w:r>
            <w:r w:rsidRPr="001F6233">
              <w:rPr>
                <w:rFonts w:cs="Arial"/>
                <w:color w:val="000000" w:themeColor="text1"/>
                <w:sz w:val="18"/>
                <w:szCs w:val="18"/>
              </w:rPr>
              <w:t>)</w:t>
            </w:r>
            <w:r>
              <w:rPr>
                <w:rFonts w:cs="Arial"/>
                <w:color w:val="000000" w:themeColor="text1"/>
                <w:sz w:val="18"/>
                <w:szCs w:val="18"/>
                <w:vertAlign w:val="superscript"/>
              </w:rPr>
              <w:t>1</w:t>
            </w:r>
          </w:p>
        </w:tc>
        <w:tc>
          <w:tcPr>
            <w:tcW w:w="1842" w:type="dxa"/>
            <w:shd w:val="clear" w:color="auto" w:fill="auto"/>
            <w:vAlign w:val="center"/>
          </w:tcPr>
          <w:p w14:paraId="20643E40" w14:textId="77777777" w:rsidR="00333AC0" w:rsidRPr="001F6233" w:rsidRDefault="00333AC0" w:rsidP="00011A05">
            <w:pPr>
              <w:jc w:val="center"/>
              <w:rPr>
                <w:rFonts w:cs="Arial"/>
                <w:color w:val="000000" w:themeColor="text1"/>
                <w:sz w:val="18"/>
                <w:szCs w:val="18"/>
              </w:rPr>
            </w:pPr>
            <w:r w:rsidRPr="00822646">
              <w:rPr>
                <w:rFonts w:cs="Arial"/>
                <w:color w:val="000000" w:themeColor="text1"/>
                <w:sz w:val="18"/>
                <w:szCs w:val="18"/>
              </w:rPr>
              <w:t>&lt;LOQ</w:t>
            </w:r>
          </w:p>
        </w:tc>
      </w:tr>
      <w:tr w:rsidR="00333AC0" w:rsidRPr="005B4AC6" w14:paraId="20643E46" w14:textId="77777777" w:rsidTr="009E085C">
        <w:trPr>
          <w:trHeight w:val="510"/>
          <w:jc w:val="center"/>
        </w:trPr>
        <w:tc>
          <w:tcPr>
            <w:tcW w:w="2392" w:type="dxa"/>
            <w:shd w:val="clear" w:color="auto" w:fill="EAF1DD" w:themeFill="accent3" w:themeFillTint="33"/>
            <w:noWrap/>
            <w:vAlign w:val="center"/>
          </w:tcPr>
          <w:p w14:paraId="20643E42"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9’-</w:t>
            </w:r>
            <w:r>
              <w:rPr>
                <w:rFonts w:cs="Arial"/>
                <w:i/>
                <w:color w:val="000000" w:themeColor="text1"/>
                <w:sz w:val="20"/>
                <w:szCs w:val="20"/>
              </w:rPr>
              <w:t>cis</w:t>
            </w:r>
            <w:r>
              <w:rPr>
                <w:rFonts w:cs="Arial"/>
                <w:color w:val="000000" w:themeColor="text1"/>
                <w:sz w:val="20"/>
                <w:szCs w:val="20"/>
              </w:rPr>
              <w:t>-β-carotene</w:t>
            </w:r>
          </w:p>
        </w:tc>
        <w:tc>
          <w:tcPr>
            <w:tcW w:w="1843" w:type="dxa"/>
            <w:shd w:val="clear" w:color="auto" w:fill="FDE9D9" w:themeFill="accent6" w:themeFillTint="33"/>
            <w:vAlign w:val="center"/>
          </w:tcPr>
          <w:p w14:paraId="20643E43"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0.762</w:t>
            </w:r>
          </w:p>
          <w:p w14:paraId="20643E44" w14:textId="77777777" w:rsidR="00333AC0" w:rsidRPr="00C74F44"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w:t>
            </w:r>
            <w:r>
              <w:rPr>
                <w:rFonts w:cs="Arial"/>
                <w:color w:val="000000" w:themeColor="text1"/>
                <w:sz w:val="18"/>
                <w:szCs w:val="18"/>
              </w:rPr>
              <w:t>0.5 – 1.32</w:t>
            </w:r>
            <w:r w:rsidRPr="001F6233">
              <w:rPr>
                <w:rFonts w:cs="Arial"/>
                <w:color w:val="000000" w:themeColor="text1"/>
                <w:sz w:val="18"/>
                <w:szCs w:val="18"/>
              </w:rPr>
              <w:t>)</w:t>
            </w:r>
            <w:r>
              <w:rPr>
                <w:rFonts w:cs="Arial"/>
                <w:color w:val="000000" w:themeColor="text1"/>
                <w:sz w:val="18"/>
                <w:szCs w:val="18"/>
                <w:vertAlign w:val="superscript"/>
              </w:rPr>
              <w:t>1</w:t>
            </w:r>
          </w:p>
        </w:tc>
        <w:tc>
          <w:tcPr>
            <w:tcW w:w="1842" w:type="dxa"/>
            <w:shd w:val="clear" w:color="auto" w:fill="EAF1DD" w:themeFill="accent3" w:themeFillTint="33"/>
            <w:vAlign w:val="center"/>
          </w:tcPr>
          <w:p w14:paraId="20643E45" w14:textId="77777777" w:rsidR="00333AC0" w:rsidRPr="001F6233" w:rsidRDefault="00333AC0" w:rsidP="00011A05">
            <w:pPr>
              <w:jc w:val="center"/>
              <w:rPr>
                <w:rFonts w:cs="Arial"/>
                <w:color w:val="000000" w:themeColor="text1"/>
                <w:sz w:val="18"/>
                <w:szCs w:val="18"/>
              </w:rPr>
            </w:pPr>
            <w:r w:rsidRPr="00822646">
              <w:rPr>
                <w:rFonts w:cs="Arial"/>
                <w:color w:val="000000" w:themeColor="text1"/>
                <w:sz w:val="18"/>
                <w:szCs w:val="18"/>
              </w:rPr>
              <w:t>&lt;LOQ</w:t>
            </w:r>
          </w:p>
        </w:tc>
      </w:tr>
      <w:tr w:rsidR="00333AC0" w:rsidRPr="005B4AC6" w14:paraId="20643E4B" w14:textId="77777777" w:rsidTr="009E085C">
        <w:trPr>
          <w:trHeight w:val="510"/>
          <w:jc w:val="center"/>
        </w:trPr>
        <w:tc>
          <w:tcPr>
            <w:tcW w:w="2392" w:type="dxa"/>
            <w:shd w:val="clear" w:color="auto" w:fill="auto"/>
            <w:noWrap/>
            <w:vAlign w:val="center"/>
          </w:tcPr>
          <w:p w14:paraId="20643E47" w14:textId="77777777" w:rsidR="00333AC0" w:rsidRDefault="00333AC0" w:rsidP="00011A05">
            <w:pPr>
              <w:jc w:val="center"/>
              <w:rPr>
                <w:rFonts w:cs="Arial"/>
                <w:color w:val="000000" w:themeColor="text1"/>
                <w:sz w:val="20"/>
                <w:szCs w:val="20"/>
              </w:rPr>
            </w:pPr>
            <w:r>
              <w:rPr>
                <w:rFonts w:cs="Arial"/>
                <w:color w:val="000000" w:themeColor="text1"/>
                <w:sz w:val="20"/>
                <w:szCs w:val="20"/>
              </w:rPr>
              <w:t>β-cryptoxanthin</w:t>
            </w:r>
          </w:p>
        </w:tc>
        <w:tc>
          <w:tcPr>
            <w:tcW w:w="1843" w:type="dxa"/>
            <w:shd w:val="clear" w:color="auto" w:fill="FDE9D9" w:themeFill="accent6" w:themeFillTint="33"/>
            <w:vAlign w:val="center"/>
          </w:tcPr>
          <w:p w14:paraId="20643E48" w14:textId="77777777" w:rsidR="00333AC0" w:rsidRPr="008E099B" w:rsidRDefault="00333AC0" w:rsidP="00011A05">
            <w:pPr>
              <w:jc w:val="center"/>
              <w:rPr>
                <w:rFonts w:cs="Arial"/>
                <w:color w:val="000000" w:themeColor="text1"/>
                <w:sz w:val="18"/>
                <w:szCs w:val="18"/>
              </w:rPr>
            </w:pPr>
            <w:r>
              <w:rPr>
                <w:rFonts w:cs="Arial"/>
                <w:color w:val="000000" w:themeColor="text1"/>
                <w:sz w:val="18"/>
                <w:szCs w:val="18"/>
              </w:rPr>
              <w:t>0.312</w:t>
            </w:r>
          </w:p>
          <w:p w14:paraId="20643E49" w14:textId="77777777" w:rsidR="00333AC0" w:rsidRDefault="00333AC0" w:rsidP="00011A05">
            <w:pPr>
              <w:jc w:val="center"/>
              <w:rPr>
                <w:rFonts w:cs="Arial"/>
                <w:color w:val="000000" w:themeColor="text1"/>
                <w:sz w:val="18"/>
                <w:szCs w:val="18"/>
              </w:rPr>
            </w:pPr>
            <w:r>
              <w:rPr>
                <w:rFonts w:cs="Arial"/>
                <w:color w:val="000000" w:themeColor="text1"/>
                <w:sz w:val="18"/>
                <w:szCs w:val="18"/>
              </w:rPr>
              <w:t>(0.232 – 0.464</w:t>
            </w:r>
            <w:r w:rsidRPr="008E099B">
              <w:rPr>
                <w:rFonts w:cs="Arial"/>
                <w:color w:val="000000" w:themeColor="text1"/>
                <w:sz w:val="18"/>
                <w:szCs w:val="18"/>
              </w:rPr>
              <w:t>)</w:t>
            </w:r>
            <w:r>
              <w:rPr>
                <w:rFonts w:cs="Arial"/>
                <w:color w:val="000000" w:themeColor="text1"/>
                <w:sz w:val="18"/>
                <w:szCs w:val="18"/>
                <w:vertAlign w:val="superscript"/>
              </w:rPr>
              <w:t>1</w:t>
            </w:r>
          </w:p>
        </w:tc>
        <w:tc>
          <w:tcPr>
            <w:tcW w:w="1842" w:type="dxa"/>
            <w:shd w:val="clear" w:color="auto" w:fill="auto"/>
            <w:vAlign w:val="center"/>
          </w:tcPr>
          <w:p w14:paraId="20643E4A" w14:textId="77777777" w:rsidR="00333AC0" w:rsidRPr="00822646" w:rsidRDefault="00333AC0" w:rsidP="00011A05">
            <w:pPr>
              <w:jc w:val="center"/>
              <w:rPr>
                <w:rFonts w:cs="Arial"/>
                <w:color w:val="000000" w:themeColor="text1"/>
                <w:sz w:val="18"/>
                <w:szCs w:val="18"/>
              </w:rPr>
            </w:pPr>
            <w:r>
              <w:rPr>
                <w:rFonts w:cs="Arial"/>
                <w:color w:val="000000" w:themeColor="text1"/>
                <w:sz w:val="18"/>
                <w:szCs w:val="18"/>
              </w:rPr>
              <w:t>&lt;LOQ</w:t>
            </w:r>
          </w:p>
        </w:tc>
      </w:tr>
      <w:tr w:rsidR="00333AC0" w:rsidRPr="005B4AC6" w14:paraId="20643E50" w14:textId="77777777" w:rsidTr="009E085C">
        <w:trPr>
          <w:trHeight w:val="510"/>
          <w:jc w:val="center"/>
        </w:trPr>
        <w:tc>
          <w:tcPr>
            <w:tcW w:w="2392" w:type="dxa"/>
            <w:shd w:val="clear" w:color="auto" w:fill="auto"/>
            <w:noWrap/>
            <w:vAlign w:val="center"/>
          </w:tcPr>
          <w:p w14:paraId="20643E4C"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Total carotenoids</w:t>
            </w:r>
          </w:p>
        </w:tc>
        <w:tc>
          <w:tcPr>
            <w:tcW w:w="1843" w:type="dxa"/>
            <w:shd w:val="clear" w:color="auto" w:fill="FDE9D9" w:themeFill="accent6" w:themeFillTint="33"/>
            <w:vAlign w:val="center"/>
          </w:tcPr>
          <w:p w14:paraId="20643E4D" w14:textId="77777777" w:rsidR="00333AC0" w:rsidRPr="001F6233" w:rsidRDefault="00333AC0" w:rsidP="00011A05">
            <w:pPr>
              <w:jc w:val="center"/>
              <w:rPr>
                <w:rFonts w:cs="Arial"/>
                <w:color w:val="000000" w:themeColor="text1"/>
                <w:sz w:val="18"/>
                <w:szCs w:val="18"/>
              </w:rPr>
            </w:pPr>
            <w:r>
              <w:rPr>
                <w:rFonts w:cs="Arial"/>
                <w:color w:val="000000" w:themeColor="text1"/>
                <w:sz w:val="18"/>
                <w:szCs w:val="18"/>
              </w:rPr>
              <w:t>5.88</w:t>
            </w:r>
          </w:p>
          <w:p w14:paraId="20643E4E" w14:textId="77777777" w:rsidR="00333AC0" w:rsidRPr="00C74F44" w:rsidRDefault="00333AC0" w:rsidP="00011A05">
            <w:pPr>
              <w:jc w:val="center"/>
              <w:rPr>
                <w:rFonts w:cs="Arial"/>
                <w:color w:val="000000" w:themeColor="text1"/>
                <w:sz w:val="18"/>
                <w:szCs w:val="18"/>
                <w:vertAlign w:val="superscript"/>
              </w:rPr>
            </w:pPr>
            <w:r w:rsidRPr="001F6233">
              <w:rPr>
                <w:rFonts w:cs="Arial"/>
                <w:color w:val="000000" w:themeColor="text1"/>
                <w:sz w:val="18"/>
                <w:szCs w:val="18"/>
              </w:rPr>
              <w:t>(</w:t>
            </w:r>
            <w:r>
              <w:rPr>
                <w:rFonts w:cs="Arial"/>
                <w:color w:val="000000" w:themeColor="text1"/>
                <w:sz w:val="18"/>
                <w:szCs w:val="18"/>
              </w:rPr>
              <w:t>3.5 – 10.9</w:t>
            </w:r>
            <w:r w:rsidRPr="001F6233">
              <w:rPr>
                <w:rFonts w:cs="Arial"/>
                <w:color w:val="000000" w:themeColor="text1"/>
                <w:sz w:val="18"/>
                <w:szCs w:val="18"/>
              </w:rPr>
              <w:t>)</w:t>
            </w:r>
            <w:r>
              <w:rPr>
                <w:rFonts w:cs="Arial"/>
                <w:color w:val="000000" w:themeColor="text1"/>
                <w:sz w:val="18"/>
                <w:szCs w:val="18"/>
                <w:vertAlign w:val="superscript"/>
              </w:rPr>
              <w:t>1</w:t>
            </w:r>
          </w:p>
        </w:tc>
        <w:tc>
          <w:tcPr>
            <w:tcW w:w="1842" w:type="dxa"/>
            <w:shd w:val="clear" w:color="auto" w:fill="auto"/>
            <w:vAlign w:val="center"/>
          </w:tcPr>
          <w:p w14:paraId="20643E4F" w14:textId="77777777" w:rsidR="00333AC0" w:rsidRPr="001F6233" w:rsidRDefault="00333AC0" w:rsidP="00011A05">
            <w:pPr>
              <w:jc w:val="center"/>
              <w:rPr>
                <w:rFonts w:cs="Arial"/>
                <w:color w:val="000000" w:themeColor="text1"/>
                <w:sz w:val="18"/>
                <w:szCs w:val="18"/>
              </w:rPr>
            </w:pPr>
            <w:r w:rsidRPr="00822646">
              <w:rPr>
                <w:rFonts w:cs="Arial"/>
                <w:color w:val="000000" w:themeColor="text1"/>
                <w:sz w:val="18"/>
                <w:szCs w:val="18"/>
              </w:rPr>
              <w:t>&lt;LOQ</w:t>
            </w:r>
          </w:p>
        </w:tc>
      </w:tr>
    </w:tbl>
    <w:p w14:paraId="20643E51" w14:textId="77777777" w:rsidR="00333AC0" w:rsidRDefault="00333AC0" w:rsidP="00011A05">
      <w:pPr>
        <w:widowControl/>
        <w:rPr>
          <w:color w:val="000000" w:themeColor="text1"/>
          <w:sz w:val="18"/>
          <w:szCs w:val="18"/>
        </w:rPr>
      </w:pPr>
      <w:r>
        <w:rPr>
          <w:color w:val="000000" w:themeColor="text1"/>
          <w:sz w:val="18"/>
          <w:szCs w:val="18"/>
          <w:vertAlign w:val="superscript"/>
        </w:rPr>
        <w:t>1</w:t>
      </w:r>
      <w:r w:rsidRPr="00091397">
        <w:rPr>
          <w:color w:val="000000" w:themeColor="text1"/>
          <w:sz w:val="18"/>
          <w:szCs w:val="18"/>
        </w:rPr>
        <w:t xml:space="preserve"> Orange shading represen</w:t>
      </w:r>
      <w:r>
        <w:rPr>
          <w:color w:val="000000" w:themeColor="text1"/>
          <w:sz w:val="18"/>
          <w:szCs w:val="18"/>
        </w:rPr>
        <w:t>ts GR2E mean with a considerably</w:t>
      </w:r>
      <w:r w:rsidRPr="00091397">
        <w:rPr>
          <w:color w:val="000000" w:themeColor="text1"/>
          <w:sz w:val="18"/>
          <w:szCs w:val="18"/>
        </w:rPr>
        <w:t xml:space="preserve"> higher value than that for the Rc82 control</w:t>
      </w:r>
    </w:p>
    <w:p w14:paraId="20643E52" w14:textId="77777777" w:rsidR="00333AC0" w:rsidRDefault="00333AC0" w:rsidP="00011A05">
      <w:pPr>
        <w:pStyle w:val="Heading3"/>
      </w:pPr>
      <w:r w:rsidRPr="00091397">
        <w:t xml:space="preserve">5.3.6 </w:t>
      </w:r>
      <w:r w:rsidRPr="00091397">
        <w:tab/>
        <w:t>Anti-nutrients</w:t>
      </w:r>
    </w:p>
    <w:p w14:paraId="20643E53" w14:textId="77777777" w:rsidR="00333AC0" w:rsidRPr="00FE45A4" w:rsidRDefault="00333AC0" w:rsidP="00011A05">
      <w:pPr>
        <w:widowControl/>
        <w:autoSpaceDE w:val="0"/>
        <w:autoSpaceDN w:val="0"/>
        <w:adjustRightInd w:val="0"/>
        <w:rPr>
          <w:rFonts w:cs="Arial"/>
          <w:szCs w:val="22"/>
          <w:lang w:eastAsia="en-GB" w:bidi="ar-SA"/>
        </w:rPr>
      </w:pPr>
      <w:r w:rsidRPr="00FE45A4">
        <w:rPr>
          <w:rFonts w:cs="Arial"/>
          <w:szCs w:val="22"/>
          <w:lang w:eastAsia="en-GB" w:bidi="ar-SA"/>
        </w:rPr>
        <w:t xml:space="preserve">There were no statistically significant differences in the concentrations of phytic acid or in the levels of trypsin inhibitor between grain samples of GR2E </w:t>
      </w:r>
      <w:r>
        <w:rPr>
          <w:rFonts w:cs="Arial"/>
          <w:szCs w:val="22"/>
          <w:lang w:eastAsia="en-GB" w:bidi="ar-SA"/>
        </w:rPr>
        <w:t xml:space="preserve">and </w:t>
      </w:r>
      <w:r w:rsidRPr="00FE45A4">
        <w:rPr>
          <w:rFonts w:cs="Arial"/>
          <w:szCs w:val="22"/>
          <w:lang w:eastAsia="en-GB" w:bidi="ar-SA"/>
        </w:rPr>
        <w:t>Rc82</w:t>
      </w:r>
      <w:r>
        <w:rPr>
          <w:rFonts w:cs="Arial"/>
          <w:szCs w:val="22"/>
          <w:lang w:eastAsia="en-GB" w:bidi="ar-SA"/>
        </w:rPr>
        <w:t xml:space="preserve"> </w:t>
      </w:r>
      <w:r w:rsidRPr="00B275D4">
        <w:rPr>
          <w:rFonts w:cs="Arial"/>
          <w:szCs w:val="22"/>
          <w:lang w:eastAsia="en-GB" w:bidi="ar-SA"/>
        </w:rPr>
        <w:t>(Table 13).</w:t>
      </w:r>
    </w:p>
    <w:p w14:paraId="20643E54" w14:textId="77777777" w:rsidR="00333AC0" w:rsidRDefault="00333AC0">
      <w:pPr>
        <w:widowControl/>
        <w:rPr>
          <w:b/>
          <w:bCs/>
          <w:szCs w:val="22"/>
          <w:lang w:val="en-AU" w:bidi="ar-SA"/>
        </w:rPr>
      </w:pPr>
    </w:p>
    <w:p w14:paraId="20643E55" w14:textId="77777777" w:rsidR="00333AC0" w:rsidRPr="00FE45A4" w:rsidRDefault="00333AC0" w:rsidP="00011A05">
      <w:pPr>
        <w:pStyle w:val="Caption"/>
        <w:keepNext/>
        <w:ind w:left="993" w:hanging="993"/>
        <w:rPr>
          <w:sz w:val="22"/>
          <w:szCs w:val="22"/>
        </w:rPr>
      </w:pPr>
      <w:bookmarkStart w:id="62" w:name="_Toc487212012"/>
      <w:r w:rsidRPr="00FE45A4">
        <w:rPr>
          <w:sz w:val="22"/>
          <w:szCs w:val="22"/>
        </w:rPr>
        <w:t xml:space="preserve">Table </w:t>
      </w:r>
      <w:r w:rsidRPr="00FE45A4">
        <w:rPr>
          <w:sz w:val="22"/>
          <w:szCs w:val="22"/>
        </w:rPr>
        <w:fldChar w:fldCharType="begin"/>
      </w:r>
      <w:r w:rsidRPr="00FE45A4">
        <w:rPr>
          <w:sz w:val="22"/>
          <w:szCs w:val="22"/>
        </w:rPr>
        <w:instrText xml:space="preserve"> SEQ Table \* ARABIC </w:instrText>
      </w:r>
      <w:r w:rsidRPr="00FE45A4">
        <w:rPr>
          <w:sz w:val="22"/>
          <w:szCs w:val="22"/>
        </w:rPr>
        <w:fldChar w:fldCharType="separate"/>
      </w:r>
      <w:r w:rsidR="00286242">
        <w:rPr>
          <w:noProof/>
          <w:sz w:val="22"/>
          <w:szCs w:val="22"/>
        </w:rPr>
        <w:t>13</w:t>
      </w:r>
      <w:r w:rsidRPr="00FE45A4">
        <w:rPr>
          <w:sz w:val="22"/>
          <w:szCs w:val="22"/>
        </w:rPr>
        <w:fldChar w:fldCharType="end"/>
      </w:r>
      <w:r w:rsidRPr="00FE45A4">
        <w:rPr>
          <w:sz w:val="22"/>
          <w:szCs w:val="22"/>
        </w:rPr>
        <w:t xml:space="preserve">: </w:t>
      </w:r>
      <w:r>
        <w:rPr>
          <w:sz w:val="22"/>
          <w:szCs w:val="22"/>
        </w:rPr>
        <w:t>Mean (range) a</w:t>
      </w:r>
      <w:r w:rsidRPr="00FE45A4">
        <w:rPr>
          <w:sz w:val="22"/>
          <w:szCs w:val="22"/>
        </w:rPr>
        <w:t>nti-nutrient levels in paddy rice grain from GR2E and the Rc82 control collected over two growing seasons and four locations</w:t>
      </w:r>
      <w:bookmarkEnd w:id="62"/>
    </w:p>
    <w:p w14:paraId="20643E56" w14:textId="77777777" w:rsidR="00333AC0" w:rsidRPr="00FE45A4" w:rsidRDefault="00333AC0" w:rsidP="00011A05">
      <w:pPr>
        <w:rPr>
          <w:lang w:val="en-AU" w:bidi="ar-SA"/>
        </w:rPr>
      </w:pPr>
    </w:p>
    <w:tbl>
      <w:tblPr>
        <w:tblW w:w="8330"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3: Mean (range) anti-nutrient levels in paddy rice grain from GR2E and the Rc82 control collected over two growing seasons and four locations"/>
      </w:tblPr>
      <w:tblGrid>
        <w:gridCol w:w="1668"/>
        <w:gridCol w:w="1843"/>
        <w:gridCol w:w="1842"/>
        <w:gridCol w:w="1276"/>
        <w:gridCol w:w="1701"/>
      </w:tblGrid>
      <w:tr w:rsidR="00333AC0" w:rsidRPr="005B4AC6" w14:paraId="20643E5F" w14:textId="77777777" w:rsidTr="00011A05">
        <w:trPr>
          <w:trHeight w:val="880"/>
          <w:tblHeader/>
        </w:trPr>
        <w:tc>
          <w:tcPr>
            <w:tcW w:w="1668" w:type="dxa"/>
            <w:tcBorders>
              <w:bottom w:val="single" w:sz="4" w:space="0" w:color="auto"/>
            </w:tcBorders>
            <w:shd w:val="clear" w:color="auto" w:fill="9BBB59" w:themeFill="accent3"/>
            <w:noWrap/>
            <w:vAlign w:val="center"/>
          </w:tcPr>
          <w:p w14:paraId="20643E57" w14:textId="77777777" w:rsidR="00333AC0" w:rsidRPr="008E099B" w:rsidRDefault="00333AC0" w:rsidP="00011A05">
            <w:pPr>
              <w:jc w:val="center"/>
              <w:rPr>
                <w:rFonts w:cs="Arial"/>
                <w:b/>
                <w:bCs/>
                <w:color w:val="FFFFFF" w:themeColor="background1"/>
                <w:sz w:val="18"/>
                <w:szCs w:val="18"/>
              </w:rPr>
            </w:pPr>
            <w:r>
              <w:rPr>
                <w:rFonts w:cs="Arial"/>
                <w:b/>
                <w:bCs/>
                <w:color w:val="FFFFFF" w:themeColor="background1"/>
                <w:sz w:val="18"/>
                <w:szCs w:val="18"/>
              </w:rPr>
              <w:t>Anti-nutrient</w:t>
            </w:r>
          </w:p>
        </w:tc>
        <w:tc>
          <w:tcPr>
            <w:tcW w:w="1843" w:type="dxa"/>
            <w:tcBorders>
              <w:bottom w:val="single" w:sz="4" w:space="0" w:color="auto"/>
            </w:tcBorders>
            <w:shd w:val="clear" w:color="auto" w:fill="9BBB59" w:themeFill="accent3"/>
            <w:vAlign w:val="center"/>
          </w:tcPr>
          <w:p w14:paraId="20643E58"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GR2E</w:t>
            </w:r>
          </w:p>
          <w:p w14:paraId="20643E59" w14:textId="77777777" w:rsidR="00333AC0" w:rsidRPr="008E099B"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c>
          <w:tcPr>
            <w:tcW w:w="1842" w:type="dxa"/>
            <w:tcBorders>
              <w:bottom w:val="single" w:sz="4" w:space="0" w:color="auto"/>
            </w:tcBorders>
            <w:shd w:val="clear" w:color="auto" w:fill="9BBB59" w:themeFill="accent3"/>
            <w:vAlign w:val="center"/>
          </w:tcPr>
          <w:p w14:paraId="20643E5A" w14:textId="77777777" w:rsidR="00333AC0" w:rsidRPr="008E099B" w:rsidRDefault="00333AC0" w:rsidP="00011A05">
            <w:pPr>
              <w:jc w:val="center"/>
              <w:rPr>
                <w:rFonts w:eastAsiaTheme="minorHAnsi" w:cs="Arial"/>
                <w:b/>
                <w:color w:val="FFFFFF" w:themeColor="background1"/>
                <w:sz w:val="18"/>
                <w:szCs w:val="18"/>
              </w:rPr>
            </w:pPr>
            <w:r w:rsidRPr="008E099B">
              <w:rPr>
                <w:rFonts w:eastAsiaTheme="minorHAnsi" w:cs="Arial"/>
                <w:b/>
                <w:color w:val="FFFFFF" w:themeColor="background1"/>
                <w:sz w:val="18"/>
                <w:szCs w:val="18"/>
              </w:rPr>
              <w:t xml:space="preserve">Control </w:t>
            </w:r>
          </w:p>
          <w:p w14:paraId="20643E5B" w14:textId="77777777" w:rsidR="00333AC0" w:rsidRPr="008E099B" w:rsidRDefault="00333AC0" w:rsidP="00011A05">
            <w:pPr>
              <w:jc w:val="center"/>
              <w:rPr>
                <w:rFonts w:eastAsiaTheme="minorHAnsi" w:cs="Arial"/>
                <w:b/>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c>
          <w:tcPr>
            <w:tcW w:w="1276" w:type="dxa"/>
            <w:tcBorders>
              <w:bottom w:val="single" w:sz="4" w:space="0" w:color="auto"/>
            </w:tcBorders>
            <w:shd w:val="clear" w:color="auto" w:fill="9BBB59" w:themeFill="accent3"/>
            <w:vAlign w:val="center"/>
          </w:tcPr>
          <w:p w14:paraId="20643E5C" w14:textId="77777777" w:rsidR="00333AC0" w:rsidRPr="008E099B" w:rsidRDefault="00333AC0" w:rsidP="00011A05">
            <w:pPr>
              <w:jc w:val="center"/>
              <w:rPr>
                <w:rFonts w:cs="Arial"/>
                <w:b/>
                <w:bCs/>
                <w:color w:val="FFFFFF" w:themeColor="background1"/>
                <w:sz w:val="18"/>
                <w:szCs w:val="18"/>
                <w:vertAlign w:val="superscript"/>
              </w:rPr>
            </w:pPr>
            <w:r>
              <w:rPr>
                <w:rFonts w:cs="Arial"/>
                <w:b/>
                <w:bCs/>
                <w:color w:val="FFFFFF" w:themeColor="background1"/>
                <w:sz w:val="18"/>
                <w:szCs w:val="18"/>
              </w:rPr>
              <w:t>p</w:t>
            </w:r>
            <w:r w:rsidRPr="008E099B">
              <w:rPr>
                <w:rFonts w:cs="Arial"/>
                <w:b/>
                <w:bCs/>
                <w:color w:val="FFFFFF" w:themeColor="background1"/>
                <w:sz w:val="18"/>
                <w:szCs w:val="18"/>
              </w:rPr>
              <w:t>-value</w:t>
            </w:r>
            <w:r w:rsidRPr="008E099B">
              <w:rPr>
                <w:rFonts w:cs="Arial"/>
                <w:b/>
                <w:bCs/>
                <w:color w:val="FFFFFF" w:themeColor="background1"/>
                <w:sz w:val="18"/>
                <w:szCs w:val="18"/>
                <w:vertAlign w:val="superscript"/>
              </w:rPr>
              <w:t>1</w:t>
            </w:r>
          </w:p>
        </w:tc>
        <w:tc>
          <w:tcPr>
            <w:tcW w:w="1701" w:type="dxa"/>
            <w:tcBorders>
              <w:bottom w:val="single" w:sz="4" w:space="0" w:color="auto"/>
            </w:tcBorders>
            <w:shd w:val="clear" w:color="auto" w:fill="9BBB59" w:themeFill="accent3"/>
            <w:vAlign w:val="center"/>
          </w:tcPr>
          <w:p w14:paraId="20643E5D" w14:textId="77777777" w:rsidR="00333AC0" w:rsidRPr="008E099B" w:rsidRDefault="00333AC0" w:rsidP="00011A05">
            <w:pPr>
              <w:jc w:val="center"/>
              <w:rPr>
                <w:rFonts w:cs="Arial"/>
                <w:b/>
                <w:bCs/>
                <w:color w:val="FFFFFF" w:themeColor="background1"/>
                <w:sz w:val="18"/>
                <w:szCs w:val="18"/>
              </w:rPr>
            </w:pPr>
            <w:r w:rsidRPr="008E099B">
              <w:rPr>
                <w:rFonts w:cs="Arial"/>
                <w:b/>
                <w:bCs/>
                <w:color w:val="FFFFFF" w:themeColor="background1"/>
                <w:sz w:val="18"/>
                <w:szCs w:val="18"/>
              </w:rPr>
              <w:t>Combined literature</w:t>
            </w:r>
            <w:r w:rsidRPr="008E099B">
              <w:rPr>
                <w:rFonts w:cs="Arial"/>
                <w:b/>
                <w:bCs/>
                <w:color w:val="FFFFFF" w:themeColor="background1"/>
                <w:sz w:val="18"/>
                <w:szCs w:val="18"/>
              </w:rPr>
              <w:br/>
              <w:t>range</w:t>
            </w:r>
            <w:r w:rsidRPr="008E099B">
              <w:rPr>
                <w:rFonts w:cs="Arial"/>
                <w:b/>
                <w:bCs/>
                <w:color w:val="FFFFFF" w:themeColor="background1"/>
                <w:sz w:val="18"/>
                <w:szCs w:val="18"/>
                <w:vertAlign w:val="superscript"/>
              </w:rPr>
              <w:t>2</w:t>
            </w:r>
            <w:r w:rsidRPr="008E099B">
              <w:rPr>
                <w:rFonts w:cs="Arial"/>
                <w:b/>
                <w:bCs/>
                <w:color w:val="FFFFFF" w:themeColor="background1"/>
                <w:sz w:val="18"/>
                <w:szCs w:val="18"/>
              </w:rPr>
              <w:t xml:space="preserve"> </w:t>
            </w:r>
          </w:p>
          <w:p w14:paraId="20643E5E" w14:textId="77777777" w:rsidR="00333AC0" w:rsidRPr="008E099B" w:rsidRDefault="00333AC0" w:rsidP="00011A05">
            <w:pPr>
              <w:jc w:val="center"/>
              <w:rPr>
                <w:rFonts w:cs="Arial"/>
                <w:b/>
                <w:bCs/>
                <w:color w:val="FFFFFF" w:themeColor="background1"/>
                <w:sz w:val="18"/>
                <w:szCs w:val="18"/>
              </w:rPr>
            </w:pPr>
            <w:r>
              <w:rPr>
                <w:rFonts w:eastAsiaTheme="minorHAnsi" w:cs="Arial"/>
                <w:b/>
                <w:color w:val="FFFFFF" w:themeColor="background1"/>
                <w:sz w:val="18"/>
                <w:szCs w:val="18"/>
              </w:rPr>
              <w:t>(mg/k</w:t>
            </w:r>
            <w:r w:rsidRPr="008E099B">
              <w:rPr>
                <w:rFonts w:eastAsiaTheme="minorHAnsi" w:cs="Arial"/>
                <w:b/>
                <w:color w:val="FFFFFF" w:themeColor="background1"/>
                <w:sz w:val="18"/>
                <w:szCs w:val="18"/>
              </w:rPr>
              <w:t>g dw)</w:t>
            </w:r>
          </w:p>
        </w:tc>
      </w:tr>
      <w:tr w:rsidR="00333AC0" w:rsidRPr="005B4AC6" w14:paraId="20643E67" w14:textId="77777777" w:rsidTr="00011A05">
        <w:trPr>
          <w:trHeight w:val="510"/>
        </w:trPr>
        <w:tc>
          <w:tcPr>
            <w:tcW w:w="1668" w:type="dxa"/>
            <w:shd w:val="clear" w:color="auto" w:fill="auto"/>
            <w:noWrap/>
            <w:vAlign w:val="center"/>
          </w:tcPr>
          <w:p w14:paraId="20643E60"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Phytic acid (%dw)</w:t>
            </w:r>
          </w:p>
        </w:tc>
        <w:tc>
          <w:tcPr>
            <w:tcW w:w="1843" w:type="dxa"/>
            <w:vAlign w:val="center"/>
          </w:tcPr>
          <w:p w14:paraId="20643E61"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 xml:space="preserve">0.861 </w:t>
            </w:r>
          </w:p>
          <w:p w14:paraId="20643E62"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(0.582 – 1.1)</w:t>
            </w:r>
          </w:p>
        </w:tc>
        <w:tc>
          <w:tcPr>
            <w:tcW w:w="1842" w:type="dxa"/>
            <w:vAlign w:val="center"/>
          </w:tcPr>
          <w:p w14:paraId="20643E63"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0.881</w:t>
            </w:r>
          </w:p>
          <w:p w14:paraId="20643E64"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(0.605 – 1.23)</w:t>
            </w:r>
          </w:p>
        </w:tc>
        <w:tc>
          <w:tcPr>
            <w:tcW w:w="1276" w:type="dxa"/>
            <w:vAlign w:val="center"/>
          </w:tcPr>
          <w:p w14:paraId="20643E65"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0.6218</w:t>
            </w:r>
          </w:p>
        </w:tc>
        <w:tc>
          <w:tcPr>
            <w:tcW w:w="1701" w:type="dxa"/>
            <w:shd w:val="clear" w:color="auto" w:fill="auto"/>
            <w:noWrap/>
            <w:vAlign w:val="center"/>
          </w:tcPr>
          <w:p w14:paraId="20643E66" w14:textId="77777777" w:rsidR="00333AC0" w:rsidRPr="00C873FA" w:rsidRDefault="00333AC0" w:rsidP="00011A05">
            <w:pPr>
              <w:jc w:val="center"/>
              <w:rPr>
                <w:rFonts w:cs="Arial"/>
                <w:color w:val="000000" w:themeColor="text1"/>
                <w:sz w:val="18"/>
                <w:szCs w:val="18"/>
              </w:rPr>
            </w:pPr>
            <w:r w:rsidRPr="00C873FA">
              <w:rPr>
                <w:rFonts w:cs="Arial"/>
                <w:color w:val="000000" w:themeColor="text1"/>
                <w:sz w:val="18"/>
                <w:szCs w:val="18"/>
              </w:rPr>
              <w:t>30.61 – 0.84</w:t>
            </w:r>
          </w:p>
        </w:tc>
      </w:tr>
      <w:tr w:rsidR="00333AC0" w:rsidRPr="005B4AC6" w14:paraId="20643E70" w14:textId="77777777" w:rsidTr="00011A05">
        <w:trPr>
          <w:trHeight w:val="510"/>
        </w:trPr>
        <w:tc>
          <w:tcPr>
            <w:tcW w:w="1668" w:type="dxa"/>
            <w:shd w:val="clear" w:color="auto" w:fill="EAF1DD" w:themeFill="accent3" w:themeFillTint="33"/>
            <w:noWrap/>
            <w:vAlign w:val="center"/>
          </w:tcPr>
          <w:p w14:paraId="20643E68" w14:textId="77777777" w:rsidR="00333AC0" w:rsidRDefault="00333AC0" w:rsidP="00011A05">
            <w:pPr>
              <w:jc w:val="center"/>
              <w:rPr>
                <w:rFonts w:cs="Arial"/>
                <w:color w:val="000000" w:themeColor="text1"/>
                <w:sz w:val="20"/>
                <w:szCs w:val="20"/>
              </w:rPr>
            </w:pPr>
            <w:r>
              <w:rPr>
                <w:rFonts w:cs="Arial"/>
                <w:color w:val="000000" w:themeColor="text1"/>
                <w:sz w:val="20"/>
                <w:szCs w:val="20"/>
              </w:rPr>
              <w:t>Trypsin inhibitor</w:t>
            </w:r>
          </w:p>
          <w:p w14:paraId="20643E69" w14:textId="77777777" w:rsidR="00333AC0" w:rsidRPr="005B4AC6" w:rsidRDefault="00333AC0" w:rsidP="00011A05">
            <w:pPr>
              <w:jc w:val="center"/>
              <w:rPr>
                <w:rFonts w:cs="Arial"/>
                <w:color w:val="000000" w:themeColor="text1"/>
                <w:sz w:val="20"/>
                <w:szCs w:val="20"/>
              </w:rPr>
            </w:pPr>
            <w:r>
              <w:rPr>
                <w:rFonts w:cs="Arial"/>
                <w:color w:val="000000" w:themeColor="text1"/>
                <w:sz w:val="20"/>
                <w:szCs w:val="20"/>
              </w:rPr>
              <w:t>(TIU/mg)</w:t>
            </w:r>
          </w:p>
        </w:tc>
        <w:tc>
          <w:tcPr>
            <w:tcW w:w="1843" w:type="dxa"/>
            <w:shd w:val="clear" w:color="auto" w:fill="EAF1DD" w:themeFill="accent3" w:themeFillTint="33"/>
            <w:vAlign w:val="center"/>
          </w:tcPr>
          <w:p w14:paraId="20643E6A"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0.924</w:t>
            </w:r>
          </w:p>
          <w:p w14:paraId="20643E6B"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(0.28 – 1.71)</w:t>
            </w:r>
          </w:p>
        </w:tc>
        <w:tc>
          <w:tcPr>
            <w:tcW w:w="1842" w:type="dxa"/>
            <w:shd w:val="clear" w:color="auto" w:fill="EAF1DD" w:themeFill="accent3" w:themeFillTint="33"/>
            <w:vAlign w:val="center"/>
          </w:tcPr>
          <w:p w14:paraId="20643E6C"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0.996</w:t>
            </w:r>
          </w:p>
          <w:p w14:paraId="20643E6D"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(0.032 – 4.17)</w:t>
            </w:r>
          </w:p>
        </w:tc>
        <w:tc>
          <w:tcPr>
            <w:tcW w:w="1276" w:type="dxa"/>
            <w:shd w:val="clear" w:color="auto" w:fill="EAF1DD" w:themeFill="accent3" w:themeFillTint="33"/>
            <w:vAlign w:val="center"/>
          </w:tcPr>
          <w:p w14:paraId="20643E6E"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0.8282</w:t>
            </w:r>
          </w:p>
        </w:tc>
        <w:tc>
          <w:tcPr>
            <w:tcW w:w="1701" w:type="dxa"/>
            <w:shd w:val="clear" w:color="auto" w:fill="EAF1DD" w:themeFill="accent3" w:themeFillTint="33"/>
            <w:noWrap/>
            <w:vAlign w:val="center"/>
          </w:tcPr>
          <w:p w14:paraId="20643E6F" w14:textId="77777777" w:rsidR="00333AC0" w:rsidRPr="00FE45A4" w:rsidRDefault="00333AC0" w:rsidP="00011A05">
            <w:pPr>
              <w:jc w:val="center"/>
              <w:rPr>
                <w:rFonts w:cs="Arial"/>
                <w:color w:val="000000" w:themeColor="text1"/>
                <w:sz w:val="18"/>
                <w:szCs w:val="18"/>
              </w:rPr>
            </w:pPr>
            <w:r w:rsidRPr="00FE45A4">
              <w:rPr>
                <w:rFonts w:cs="Arial"/>
                <w:color w:val="000000" w:themeColor="text1"/>
                <w:sz w:val="18"/>
                <w:szCs w:val="18"/>
              </w:rPr>
              <w:t>Not reported</w:t>
            </w:r>
          </w:p>
        </w:tc>
      </w:tr>
    </w:tbl>
    <w:p w14:paraId="20643E71" w14:textId="77777777" w:rsidR="00333AC0" w:rsidRPr="005B4AC6" w:rsidRDefault="00333AC0" w:rsidP="00011A05">
      <w:pPr>
        <w:autoSpaceDE w:val="0"/>
        <w:autoSpaceDN w:val="0"/>
        <w:adjustRightInd w:val="0"/>
        <w:rPr>
          <w:color w:val="000000" w:themeColor="text1"/>
          <w:sz w:val="18"/>
          <w:szCs w:val="18"/>
        </w:rPr>
      </w:pPr>
      <w:r w:rsidRPr="005B4AC6">
        <w:rPr>
          <w:color w:val="000000" w:themeColor="text1"/>
          <w:sz w:val="18"/>
          <w:szCs w:val="18"/>
          <w:vertAlign w:val="superscript"/>
        </w:rPr>
        <w:t>1</w:t>
      </w:r>
      <w:r>
        <w:rPr>
          <w:color w:val="000000" w:themeColor="text1"/>
          <w:sz w:val="18"/>
          <w:szCs w:val="18"/>
        </w:rPr>
        <w:t xml:space="preserve"> p</w:t>
      </w:r>
      <w:r w:rsidRPr="005B4AC6">
        <w:rPr>
          <w:color w:val="000000" w:themeColor="text1"/>
          <w:sz w:val="18"/>
          <w:szCs w:val="18"/>
        </w:rPr>
        <w:t>-values indicating significant differences are bolded and underlined.</w:t>
      </w:r>
    </w:p>
    <w:p w14:paraId="20643E72" w14:textId="77777777" w:rsidR="00333AC0" w:rsidRPr="00091397" w:rsidRDefault="00333AC0" w:rsidP="00011A05">
      <w:pPr>
        <w:autoSpaceDE w:val="0"/>
        <w:autoSpaceDN w:val="0"/>
        <w:adjustRightInd w:val="0"/>
        <w:rPr>
          <w:color w:val="000000" w:themeColor="text1"/>
          <w:sz w:val="18"/>
          <w:szCs w:val="18"/>
        </w:rPr>
      </w:pPr>
      <w:r w:rsidRPr="00091397">
        <w:rPr>
          <w:color w:val="000000" w:themeColor="text1"/>
          <w:sz w:val="18"/>
          <w:szCs w:val="18"/>
          <w:vertAlign w:val="superscript"/>
        </w:rPr>
        <w:t xml:space="preserve">2 </w:t>
      </w:r>
      <w:r w:rsidRPr="00091397">
        <w:rPr>
          <w:color w:val="000000" w:themeColor="text1"/>
          <w:sz w:val="18"/>
          <w:szCs w:val="18"/>
        </w:rPr>
        <w:t>L</w:t>
      </w:r>
      <w:r>
        <w:rPr>
          <w:color w:val="000000" w:themeColor="text1"/>
          <w:sz w:val="18"/>
          <w:szCs w:val="18"/>
        </w:rPr>
        <w:t>iterature range compiled from</w:t>
      </w:r>
      <w:r w:rsidRPr="00091397">
        <w:rPr>
          <w:color w:val="000000" w:themeColor="text1"/>
          <w:sz w:val="18"/>
          <w:szCs w:val="18"/>
        </w:rPr>
        <w:t xml:space="preserve"> ILSI </w:t>
      </w:r>
      <w:r w:rsidRPr="00091397">
        <w:rPr>
          <w:noProof/>
          <w:color w:val="000000" w:themeColor="text1"/>
          <w:sz w:val="18"/>
          <w:szCs w:val="18"/>
        </w:rPr>
        <w:t>(2014)</w:t>
      </w:r>
    </w:p>
    <w:p w14:paraId="20643E73" w14:textId="77777777" w:rsidR="00333AC0" w:rsidRPr="00033942" w:rsidRDefault="00333AC0" w:rsidP="00011A05">
      <w:pPr>
        <w:pStyle w:val="Heading2"/>
        <w:rPr>
          <w:color w:val="000000" w:themeColor="text1"/>
        </w:rPr>
      </w:pPr>
      <w:bookmarkStart w:id="63" w:name="_Toc470008729"/>
      <w:r w:rsidRPr="00033942">
        <w:rPr>
          <w:color w:val="000000" w:themeColor="text1"/>
        </w:rPr>
        <w:t xml:space="preserve">5.4 </w:t>
      </w:r>
      <w:r w:rsidRPr="00033942">
        <w:rPr>
          <w:color w:val="000000" w:themeColor="text1"/>
        </w:rPr>
        <w:tab/>
        <w:t>Conclusions of the compositional analyses</w:t>
      </w:r>
      <w:bookmarkEnd w:id="63"/>
    </w:p>
    <w:p w14:paraId="20643E74" w14:textId="77777777" w:rsidR="00333AC0" w:rsidRPr="00033942" w:rsidRDefault="00333AC0" w:rsidP="00011A05">
      <w:pPr>
        <w:widowControl/>
        <w:autoSpaceDE w:val="0"/>
        <w:autoSpaceDN w:val="0"/>
        <w:adjustRightInd w:val="0"/>
        <w:rPr>
          <w:rFonts w:cs="Arial"/>
          <w:bCs/>
          <w:color w:val="000000" w:themeColor="text1"/>
          <w:szCs w:val="22"/>
        </w:rPr>
      </w:pPr>
      <w:r w:rsidRPr="00033942">
        <w:rPr>
          <w:color w:val="000000" w:themeColor="text1"/>
        </w:rPr>
        <w:t xml:space="preserve">Detailed compositional analyses were done to establish the nutritional adequacy of grain from GR2E and to characterise any unintended compositional changes. </w:t>
      </w:r>
      <w:r w:rsidRPr="00033942">
        <w:rPr>
          <w:rFonts w:cs="Arial"/>
          <w:color w:val="000000" w:themeColor="text1"/>
          <w:szCs w:val="22"/>
          <w:lang w:eastAsia="en-GB" w:bidi="ar-SA"/>
        </w:rPr>
        <w:t>Samples were analysed for proximates, fibre, sugars, fatty acids, amino acids, minerals, vitamins, and anti-nutrients (phytic acid and trypsin inhibitor).</w:t>
      </w:r>
      <w:r w:rsidRPr="00033942">
        <w:rPr>
          <w:rFonts w:cs="Arial"/>
          <w:bCs/>
          <w:color w:val="000000" w:themeColor="text1"/>
          <w:szCs w:val="22"/>
        </w:rPr>
        <w:t xml:space="preserve"> In addition to these analytes the Applicant provided data and analysis on five carotenoid categories.</w:t>
      </w:r>
    </w:p>
    <w:p w14:paraId="20643E75" w14:textId="77777777" w:rsidR="00333AC0" w:rsidRPr="00033942" w:rsidRDefault="00333AC0" w:rsidP="00011A05">
      <w:pPr>
        <w:widowControl/>
        <w:autoSpaceDE w:val="0"/>
        <w:autoSpaceDN w:val="0"/>
        <w:adjustRightInd w:val="0"/>
        <w:rPr>
          <w:rFonts w:cs="Arial"/>
          <w:color w:val="000000" w:themeColor="text1"/>
          <w:szCs w:val="22"/>
          <w:lang w:eastAsia="en-GB" w:bidi="ar-SA"/>
        </w:rPr>
      </w:pPr>
    </w:p>
    <w:p w14:paraId="20643E76" w14:textId="77777777" w:rsidR="00333AC0" w:rsidRPr="00033942" w:rsidRDefault="00333AC0" w:rsidP="00011A05">
      <w:pPr>
        <w:widowControl/>
        <w:autoSpaceDE w:val="0"/>
        <w:autoSpaceDN w:val="0"/>
        <w:adjustRightInd w:val="0"/>
        <w:rPr>
          <w:rFonts w:cs="Arial"/>
          <w:color w:val="000000" w:themeColor="text1"/>
          <w:szCs w:val="22"/>
          <w:lang w:eastAsia="en-GB" w:bidi="ar-SA"/>
        </w:rPr>
      </w:pPr>
      <w:r w:rsidRPr="00033942">
        <w:rPr>
          <w:color w:val="000000" w:themeColor="text1"/>
        </w:rPr>
        <w:t>The levels of each analyte in the major analyses were compared to levels in: a) the non-GM parental line, Rc82 and b) levels recorded in the literature, noting</w:t>
      </w:r>
      <w:r>
        <w:rPr>
          <w:color w:val="000000" w:themeColor="text1"/>
        </w:rPr>
        <w:t xml:space="preserve"> that data are limited for uncooked</w:t>
      </w:r>
      <w:r w:rsidRPr="00033942">
        <w:rPr>
          <w:color w:val="000000" w:themeColor="text1"/>
        </w:rPr>
        <w:t xml:space="preserve"> rice. Of the 69 analytes considered in the major analyses, and with the exception of </w:t>
      </w:r>
      <w:r w:rsidRPr="00033942">
        <w:rPr>
          <w:rFonts w:cs="Arial"/>
          <w:color w:val="000000" w:themeColor="text1"/>
          <w:szCs w:val="22"/>
        </w:rPr>
        <w:t xml:space="preserve">β-carotene which was expected to be higher in GR2E, only stearic acid in GR2E differed significantly from the control. All non-carotenoid analyte levels in GR2E </w:t>
      </w:r>
      <w:r w:rsidRPr="00033942">
        <w:rPr>
          <w:rFonts w:cs="Arial"/>
          <w:color w:val="000000" w:themeColor="text1"/>
          <w:szCs w:val="22"/>
          <w:lang w:eastAsia="en-GB" w:bidi="ar-SA"/>
        </w:rPr>
        <w:t>were within, or similar to, the range of natural variability of those components in conventional rice varieties as reported in the limited literature.</w:t>
      </w:r>
      <w:r w:rsidRPr="00033942">
        <w:rPr>
          <w:rFonts w:cs="Arial"/>
          <w:color w:val="000000" w:themeColor="text1"/>
        </w:rPr>
        <w:t xml:space="preserve"> It can therefore be concluded that apart from the elevated levels of carotenoids</w:t>
      </w:r>
      <w:r>
        <w:rPr>
          <w:rFonts w:cs="Arial"/>
          <w:color w:val="000000" w:themeColor="text1"/>
        </w:rPr>
        <w:t>,</w:t>
      </w:r>
      <w:r w:rsidRPr="00033942">
        <w:rPr>
          <w:rFonts w:cs="Arial"/>
          <w:color w:val="000000" w:themeColor="text1"/>
        </w:rPr>
        <w:t xml:space="preserve"> the grain in GR2E is compositionally equivalent to grain from conventional rice varieties.</w:t>
      </w:r>
    </w:p>
    <w:p w14:paraId="20643E77" w14:textId="77777777" w:rsidR="00333AC0" w:rsidRPr="00033942" w:rsidRDefault="00333AC0" w:rsidP="00011A05">
      <w:pPr>
        <w:rPr>
          <w:color w:val="000000" w:themeColor="text1"/>
        </w:rPr>
      </w:pPr>
    </w:p>
    <w:p w14:paraId="20643E78" w14:textId="77777777" w:rsidR="00333AC0" w:rsidRPr="00032711" w:rsidRDefault="00333AC0" w:rsidP="00011A05">
      <w:pPr>
        <w:pStyle w:val="Heading1"/>
        <w:ind w:left="720" w:hanging="720"/>
        <w:jc w:val="both"/>
        <w:rPr>
          <w:color w:val="000000" w:themeColor="text1"/>
          <w:szCs w:val="36"/>
        </w:rPr>
      </w:pPr>
      <w:bookmarkStart w:id="64" w:name="_Toc470008730"/>
      <w:r w:rsidRPr="00032711">
        <w:rPr>
          <w:color w:val="000000" w:themeColor="text1"/>
          <w:szCs w:val="36"/>
        </w:rPr>
        <w:t xml:space="preserve">6 </w:t>
      </w:r>
      <w:r w:rsidRPr="00032711">
        <w:rPr>
          <w:color w:val="000000" w:themeColor="text1"/>
          <w:szCs w:val="36"/>
        </w:rPr>
        <w:tab/>
        <w:t>Nutritional impact</w:t>
      </w:r>
      <w:bookmarkEnd w:id="64"/>
    </w:p>
    <w:p w14:paraId="20643E79" w14:textId="77777777" w:rsidR="00333AC0" w:rsidRPr="00A24F37" w:rsidRDefault="00333AC0" w:rsidP="00011A05">
      <w:pPr>
        <w:rPr>
          <w:rFonts w:cs="Arial"/>
          <w:color w:val="000000" w:themeColor="text1"/>
          <w:szCs w:val="22"/>
        </w:rPr>
      </w:pPr>
      <w:r w:rsidRPr="00A24F37">
        <w:rPr>
          <w:rFonts w:cs="Arial"/>
          <w:color w:val="000000" w:themeColor="text1"/>
          <w:szCs w:val="22"/>
        </w:rPr>
        <w:t>In assessing the safety of a GM food, a key factor is the need to establish that the food is nutritionally adequate and will support typical growth and well-being. In most cases, this can be achieved through an understanding of the genetic modification and its consequences, together with an extensive compositional analysis of the food.</w:t>
      </w:r>
    </w:p>
    <w:p w14:paraId="20643E7A" w14:textId="77777777" w:rsidR="00333AC0" w:rsidRPr="00A24F37" w:rsidRDefault="00333AC0" w:rsidP="00011A05">
      <w:pPr>
        <w:rPr>
          <w:rFonts w:cs="Arial"/>
          <w:color w:val="000000" w:themeColor="text1"/>
          <w:szCs w:val="22"/>
        </w:rPr>
      </w:pPr>
    </w:p>
    <w:p w14:paraId="20643E7B" w14:textId="77777777" w:rsidR="00333AC0" w:rsidRPr="00A24F37" w:rsidRDefault="00333AC0" w:rsidP="00011A05">
      <w:pPr>
        <w:rPr>
          <w:rFonts w:cs="Arial"/>
          <w:color w:val="000000" w:themeColor="text1"/>
          <w:szCs w:val="22"/>
        </w:rPr>
      </w:pPr>
      <w:r>
        <w:rPr>
          <w:rFonts w:cs="Arial"/>
          <w:color w:val="000000" w:themeColor="text1"/>
          <w:szCs w:val="22"/>
        </w:rPr>
        <w:t>I</w:t>
      </w:r>
      <w:r w:rsidRPr="00A24F37">
        <w:rPr>
          <w:rFonts w:cs="Arial"/>
          <w:color w:val="000000" w:themeColor="text1"/>
          <w:szCs w:val="22"/>
        </w:rPr>
        <w:t xml:space="preserve">f the compositional analysis indicates biologically significant changes in the levels of certain nutrients in the GM food, additional nutritional assessment may </w:t>
      </w:r>
      <w:r>
        <w:rPr>
          <w:rFonts w:cs="Arial"/>
          <w:color w:val="000000" w:themeColor="text1"/>
          <w:szCs w:val="22"/>
        </w:rPr>
        <w:t>be required to determine if the change is likely to be associated with any adverse health consequences. E</w:t>
      </w:r>
      <w:r w:rsidRPr="00A24F37">
        <w:rPr>
          <w:rFonts w:cs="Arial"/>
          <w:color w:val="000000" w:themeColor="text1"/>
          <w:szCs w:val="22"/>
        </w:rPr>
        <w:t xml:space="preserve">vidence indicates that feeding studies using target livestock species will add little to the safety assessment </w:t>
      </w:r>
      <w:r>
        <w:rPr>
          <w:rFonts w:cs="Arial"/>
          <w:noProof/>
          <w:color w:val="000000" w:themeColor="text1"/>
          <w:szCs w:val="22"/>
        </w:rPr>
        <w:t>(see e.g. OECD 2003; Bartholomaeus et al. 2013; Herman and Ekmay 2014)</w:t>
      </w:r>
      <w:r w:rsidRPr="00A24F37">
        <w:rPr>
          <w:rFonts w:cs="Arial"/>
          <w:noProof/>
          <w:color w:val="000000" w:themeColor="text1"/>
          <w:szCs w:val="22"/>
        </w:rPr>
        <w:t>.</w:t>
      </w:r>
    </w:p>
    <w:p w14:paraId="20643E7C" w14:textId="77777777" w:rsidR="00333AC0" w:rsidRPr="00A24F37" w:rsidRDefault="00333AC0" w:rsidP="00011A05">
      <w:pPr>
        <w:pStyle w:val="Header"/>
        <w:rPr>
          <w:rFonts w:cs="Arial"/>
          <w:color w:val="000000" w:themeColor="text1"/>
          <w:szCs w:val="22"/>
        </w:rPr>
      </w:pPr>
    </w:p>
    <w:p w14:paraId="20643E7D" w14:textId="77777777" w:rsidR="00333AC0" w:rsidRPr="00A24F37" w:rsidRDefault="00333AC0" w:rsidP="00011A05">
      <w:pPr>
        <w:rPr>
          <w:rFonts w:cs="Arial"/>
          <w:color w:val="000000" w:themeColor="text1"/>
          <w:szCs w:val="22"/>
        </w:rPr>
      </w:pPr>
      <w:r w:rsidRPr="00A24F37">
        <w:rPr>
          <w:rFonts w:cs="Arial"/>
          <w:color w:val="000000" w:themeColor="text1"/>
          <w:szCs w:val="22"/>
        </w:rPr>
        <w:t>In the case of GR2E, there are significant changes in the carotenoid component of the grain, particularly the production of β-carotene. However, β-carotene is a typical constituent of the human diet being found in a range of fresh fruits and vegetables (</w:t>
      </w:r>
      <w:r w:rsidRPr="00A24F37">
        <w:rPr>
          <w:color w:val="000000" w:themeColor="text1"/>
        </w:rPr>
        <w:t>e.g. sweet potato, carrot, dark green leafy vegetables such as spinach and kale, pumpkin, rock melon, capsicum, apricots).</w:t>
      </w:r>
    </w:p>
    <w:p w14:paraId="20643E7E" w14:textId="77777777" w:rsidR="00333AC0" w:rsidRPr="008A5547" w:rsidRDefault="00333AC0" w:rsidP="00011A05">
      <w:pPr>
        <w:rPr>
          <w:rFonts w:cs="Arial"/>
          <w:color w:val="000000"/>
          <w:szCs w:val="22"/>
        </w:rPr>
      </w:pPr>
    </w:p>
    <w:p w14:paraId="20643E7F" w14:textId="77777777" w:rsidR="00333AC0" w:rsidRPr="0090425D" w:rsidRDefault="00333AC0" w:rsidP="00011A05">
      <w:pPr>
        <w:rPr>
          <w:rFonts w:cs="Arial"/>
          <w:color w:val="000000"/>
          <w:szCs w:val="22"/>
        </w:rPr>
      </w:pPr>
      <w:r>
        <w:rPr>
          <w:rFonts w:cs="Arial"/>
          <w:color w:val="000000"/>
          <w:szCs w:val="22"/>
        </w:rPr>
        <w:t xml:space="preserve">FSANZ has conducted a separate nutrition safety assessment of GR2E to determine </w:t>
      </w:r>
      <w:r>
        <w:t>the potential risks associated with the intake of the contained carotenoids by the general population and whether this may cause any adverse health effects</w:t>
      </w:r>
      <w:r w:rsidDel="00267AF8">
        <w:rPr>
          <w:rFonts w:cs="Arial"/>
          <w:color w:val="000000"/>
          <w:szCs w:val="22"/>
        </w:rPr>
        <w:t xml:space="preserve"> </w:t>
      </w:r>
      <w:r w:rsidRPr="0090425D">
        <w:rPr>
          <w:rFonts w:cs="Arial"/>
          <w:color w:val="000000"/>
          <w:szCs w:val="22"/>
        </w:rPr>
        <w:t>(see Supporting Document 2).</w:t>
      </w:r>
    </w:p>
    <w:p w14:paraId="20643E80" w14:textId="77777777" w:rsidR="00333AC0" w:rsidRDefault="00333AC0" w:rsidP="00011A05">
      <w:pPr>
        <w:rPr>
          <w:rFonts w:cs="Arial"/>
          <w:color w:val="000000"/>
          <w:szCs w:val="22"/>
        </w:rPr>
      </w:pPr>
    </w:p>
    <w:p w14:paraId="20643E81" w14:textId="77777777" w:rsidR="00333AC0" w:rsidRPr="008A5547" w:rsidRDefault="00333AC0" w:rsidP="00011A05">
      <w:pPr>
        <w:rPr>
          <w:rFonts w:cs="Arial"/>
          <w:noProof/>
          <w:color w:val="000000" w:themeColor="text1"/>
          <w:sz w:val="20"/>
          <w:szCs w:val="20"/>
        </w:rPr>
      </w:pPr>
      <w:bookmarkStart w:id="65" w:name="_Toc470008731"/>
      <w:r w:rsidRPr="00D840C0">
        <w:rPr>
          <w:rFonts w:eastAsiaTheme="majorEastAsia" w:cstheme="majorBidi"/>
          <w:b/>
          <w:bCs/>
          <w:color w:val="000000" w:themeColor="text1"/>
          <w:sz w:val="36"/>
          <w:szCs w:val="36"/>
          <w:lang w:bidi="ar-SA"/>
        </w:rPr>
        <w:t>7</w:t>
      </w:r>
      <w:r w:rsidRPr="00D840C0">
        <w:rPr>
          <w:rFonts w:eastAsiaTheme="majorEastAsia" w:cstheme="majorBidi"/>
          <w:b/>
          <w:bCs/>
          <w:color w:val="000000" w:themeColor="text1"/>
          <w:sz w:val="36"/>
          <w:szCs w:val="36"/>
          <w:lang w:bidi="ar-SA"/>
        </w:rPr>
        <w:tab/>
        <w:t>References</w:t>
      </w:r>
      <w:bookmarkEnd w:id="65"/>
      <w:r>
        <w:rPr>
          <w:rStyle w:val="FootnoteReference"/>
          <w:color w:val="000000" w:themeColor="text1"/>
          <w:szCs w:val="36"/>
        </w:rPr>
        <w:footnoteReference w:id="25"/>
      </w:r>
    </w:p>
    <w:p w14:paraId="20643E82" w14:textId="77777777" w:rsidR="00333AC0" w:rsidRPr="008A5547" w:rsidRDefault="00333AC0" w:rsidP="00011A05">
      <w:pPr>
        <w:jc w:val="center"/>
        <w:rPr>
          <w:rFonts w:cs="Arial"/>
          <w:noProof/>
          <w:color w:val="000000" w:themeColor="text1"/>
          <w:sz w:val="20"/>
          <w:szCs w:val="20"/>
        </w:rPr>
      </w:pPr>
    </w:p>
    <w:p w14:paraId="20643E83"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Altmann F (2007) The role of protein glycosylation in allergy. International Archives of Allergy and Immunology 142:99–115.</w:t>
      </w:r>
    </w:p>
    <w:p w14:paraId="20643E8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10.1159/000096114. </w:t>
      </w:r>
    </w:p>
    <w:p w14:paraId="20643E85"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AOAC (2000) AOAC Method 941.15. Carotene in fresh plant materials and silage. In: Horowitz W (ed) Official methods of analysis of AOAC International. 17 ed, Association of Official Analytical Chemists, Gaithersburg, MD,</w:t>
      </w:r>
    </w:p>
    <w:p w14:paraId="20643E86"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ASCIA (2014) Food protein-induced enterocolitis syndrome (FPIES)., Australasian Society of Clinical Immunology and Allergy.</w:t>
      </w:r>
    </w:p>
    <w:p w14:paraId="20643E87" w14:textId="77777777" w:rsidR="00333AC0" w:rsidRPr="008A5547" w:rsidRDefault="00286242" w:rsidP="00333AC0">
      <w:pPr>
        <w:tabs>
          <w:tab w:val="left" w:pos="0"/>
        </w:tabs>
        <w:spacing w:after="240"/>
        <w:rPr>
          <w:rFonts w:cs="Arial"/>
          <w:noProof/>
          <w:color w:val="000000" w:themeColor="text1"/>
          <w:sz w:val="20"/>
          <w:szCs w:val="20"/>
          <w:u w:val="single"/>
        </w:rPr>
      </w:pPr>
      <w:hyperlink r:id="rId46" w:history="1">
        <w:r w:rsidR="00333AC0" w:rsidRPr="008A5547">
          <w:rPr>
            <w:rStyle w:val="Hyperlink"/>
            <w:rFonts w:cs="Arial"/>
            <w:noProof/>
            <w:sz w:val="20"/>
            <w:szCs w:val="20"/>
          </w:rPr>
          <w:t>http://www.allergy.org.au/patients/food-other-adverse-reactions/food-protein-induced-enterocolitis-syndrome-fpies</w:t>
        </w:r>
      </w:hyperlink>
    </w:p>
    <w:p w14:paraId="20643E88"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Astwood JD, Fuchs RL (1996) Allergenicity of foods derived from transgenic plants. Monographs in Allergy 32 (Highlights in Food Allergy):105–120</w:t>
      </w:r>
    </w:p>
    <w:p w14:paraId="20643E8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Baeshen MN, Al-Hejin AM, Bora RS, Ahmed MMM, Ramadan HAI, Saini KS, Baeshen NA, Redwan EM (2015) Production of biopharmaceuticals in </w:t>
      </w:r>
      <w:r w:rsidRPr="008A5547">
        <w:rPr>
          <w:rFonts w:cs="Arial"/>
          <w:i/>
          <w:noProof/>
          <w:color w:val="000000" w:themeColor="text1"/>
          <w:sz w:val="20"/>
          <w:szCs w:val="20"/>
        </w:rPr>
        <w:t>E. coli</w:t>
      </w:r>
      <w:r w:rsidRPr="008A5547">
        <w:rPr>
          <w:rFonts w:cs="Arial"/>
          <w:noProof/>
          <w:color w:val="000000" w:themeColor="text1"/>
          <w:sz w:val="20"/>
          <w:szCs w:val="20"/>
        </w:rPr>
        <w:t>: current scenario and future perspectives. Journal of Microbiology and Biotechnology 27(7):953–962</w:t>
      </w:r>
    </w:p>
    <w:p w14:paraId="20643E8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Bartholomaeus A, Parrott W, Bondy G, Walker K (2013) The use of whole food animal studies in the safety assessment of genetically modified crops: Limitations and recommendations. Critical Reviews in Toxicology 43(S2):1–24</w:t>
      </w:r>
    </w:p>
    <w:p w14:paraId="20643E8B"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Bates D, Maechler M, Bolker B, Walker S, Christensen RHB, Singmann H, Dai B, Grothendieck G, Green P (2016) lme4: Linear mixed-effects models using Eigen and S4. R package ver. 1.0-6. </w:t>
      </w:r>
    </w:p>
    <w:p w14:paraId="20643E8C" w14:textId="77777777" w:rsidR="00333AC0" w:rsidRPr="008A5547" w:rsidRDefault="00286242" w:rsidP="00011A05">
      <w:pPr>
        <w:tabs>
          <w:tab w:val="left" w:pos="0"/>
        </w:tabs>
        <w:spacing w:after="240"/>
        <w:rPr>
          <w:rFonts w:cs="Arial"/>
          <w:noProof/>
          <w:color w:val="000000" w:themeColor="text1"/>
          <w:sz w:val="20"/>
          <w:szCs w:val="20"/>
        </w:rPr>
      </w:pPr>
      <w:hyperlink r:id="rId47" w:history="1">
        <w:r w:rsidR="00333AC0" w:rsidRPr="008A5547">
          <w:rPr>
            <w:rStyle w:val="Hyperlink"/>
            <w:rFonts w:cs="Arial"/>
            <w:noProof/>
            <w:sz w:val="20"/>
            <w:szCs w:val="20"/>
          </w:rPr>
          <w:t>http://cran.r-project.org/package=lme4</w:t>
        </w:r>
      </w:hyperlink>
      <w:r w:rsidR="00333AC0" w:rsidRPr="008A5547">
        <w:rPr>
          <w:rFonts w:cs="Arial"/>
          <w:noProof/>
          <w:color w:val="000000" w:themeColor="text1"/>
          <w:sz w:val="20"/>
          <w:szCs w:val="20"/>
        </w:rPr>
        <w:t xml:space="preserve">. </w:t>
      </w:r>
    </w:p>
    <w:p w14:paraId="20643E8D"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Baxevanis AD (2005) Assessing Pairwise Sequence Similarity: BLAST and FASTA. Ch 11 In: Baxevanis AD, Ouellette BFF (eds) Bioinformatics: A Practical Guide to the Analysis of Genes and Proteins. John Wiley &amp; Sons, Inc., p. 295–324</w:t>
      </w:r>
    </w:p>
    <w:p w14:paraId="20643E8E"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Beyer P, Al-Babili S, Ye X, Lucca P, Schaub P, Welsch R, Potrykus I (2002) Golden Rice: introducing the ß-carotene biosynthesis pathway into rice endosperm by genetic engineering to defeat vitamin A deficiency. The Journal of Nutrition 132:506S–510S</w:t>
      </w:r>
    </w:p>
    <w:p w14:paraId="20643E8F"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Buckner B, San Miguel P, Janick-Buckner D, Bennetzen JL (1996) The </w:t>
      </w:r>
      <w:r w:rsidRPr="008A5547">
        <w:rPr>
          <w:rFonts w:cs="Arial"/>
          <w:i/>
          <w:noProof/>
          <w:color w:val="000000" w:themeColor="text1"/>
          <w:sz w:val="20"/>
          <w:szCs w:val="20"/>
        </w:rPr>
        <w:t>y1</w:t>
      </w:r>
      <w:r w:rsidRPr="008A5547">
        <w:rPr>
          <w:rFonts w:cs="Arial"/>
          <w:noProof/>
          <w:color w:val="000000" w:themeColor="text1"/>
          <w:sz w:val="20"/>
          <w:szCs w:val="20"/>
        </w:rPr>
        <w:t xml:space="preserve"> gene of maize codes for phytoene synthase. Genetics 143:479–488</w:t>
      </w:r>
    </w:p>
    <w:p w14:paraId="20643E90"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Burri BJ (2015) Beta-cryptoxanthin as a source of vitamin A. Journal of the Science of Food and Agriculture 95(9):1788–1794.</w:t>
      </w:r>
    </w:p>
    <w:p w14:paraId="20643E9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10.1002/jsfa.6942. </w:t>
      </w:r>
    </w:p>
    <w:p w14:paraId="20643E92"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Bushey DF, Bannon GA, Delaney BF, Graser G, Hefford M, Jiang X, Lee TC, Madduri KM, Pariza M, Privalle LS, Ranjan R, Saab-Rincon G, Schafer BW, Thelen JJ, Zhang JXQ, Harper MS (2014) Characteristics and safety assessment of intractable proteins in genetically modified crops. Regulatory Toxicology and Pharmacology 69:154–170</w:t>
      </w:r>
    </w:p>
    <w:p w14:paraId="20643E93"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Chauhan JS, Rao A, Raghava GPS (2013) </w:t>
      </w:r>
      <w:r w:rsidRPr="008A5547">
        <w:rPr>
          <w:rFonts w:cs="Arial"/>
          <w:i/>
          <w:noProof/>
          <w:color w:val="000000" w:themeColor="text1"/>
          <w:sz w:val="20"/>
          <w:szCs w:val="20"/>
        </w:rPr>
        <w:t>In silico</w:t>
      </w:r>
      <w:r w:rsidRPr="008A5547">
        <w:rPr>
          <w:rFonts w:cs="Arial"/>
          <w:noProof/>
          <w:color w:val="000000" w:themeColor="text1"/>
          <w:sz w:val="20"/>
          <w:szCs w:val="20"/>
        </w:rPr>
        <w:t xml:space="preserve"> platform for prediction of N-, O-, and C- glycosites in eukaryotic protein sequences. PLoS ONE (open access) 8(6):e67008.</w:t>
      </w:r>
    </w:p>
    <w:p w14:paraId="20643E9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doi:10.1371/journal.pone.0067008. </w:t>
      </w:r>
    </w:p>
    <w:p w14:paraId="20643E95"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Christensen AH, Sharrock RA, Quail PH (1992) Maize polyubiquitin genes: structure, thermal perturbation of expression and transcript splicing, and promoter activity following transfer to protoplasts by electroporation. Plant Molecular Biology 18(4):675–689</w:t>
      </w:r>
    </w:p>
    <w:p w14:paraId="20643E96"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Chuang G-Y, Boyington JC, Joyce MG, Zhu J, Nabel GJ, Kwong PD, Georgiev I (2012) Computational prediction of N-linked glycosylation incorporating structural proteins and patterns. Bioinformatics 28(17):2249–2255.</w:t>
      </w:r>
    </w:p>
    <w:p w14:paraId="20643E97"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doi:10.1093/bioinformatics/bts426. </w:t>
      </w:r>
    </w:p>
    <w:p w14:paraId="20643E98"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Codex (2009) Foods derived from modern biotechnology, 2nd edition. Codex Alimentarius Commission, Joint FAO/WHO Food Standards Programme, Food and Agriculture Organization of the United Nations, Rome.</w:t>
      </w:r>
    </w:p>
    <w:p w14:paraId="20643E99" w14:textId="77777777" w:rsidR="00333AC0" w:rsidRPr="008A5547" w:rsidRDefault="00286242" w:rsidP="00333AC0">
      <w:pPr>
        <w:tabs>
          <w:tab w:val="left" w:pos="0"/>
        </w:tabs>
        <w:spacing w:after="240"/>
        <w:rPr>
          <w:rFonts w:cs="Arial"/>
          <w:noProof/>
          <w:color w:val="000000" w:themeColor="text1"/>
          <w:sz w:val="20"/>
          <w:szCs w:val="20"/>
          <w:u w:val="single"/>
        </w:rPr>
      </w:pPr>
      <w:hyperlink r:id="rId48" w:history="1">
        <w:r w:rsidR="00333AC0" w:rsidRPr="008A5547">
          <w:rPr>
            <w:rStyle w:val="Hyperlink"/>
            <w:rFonts w:cs="Arial"/>
            <w:noProof/>
            <w:sz w:val="20"/>
            <w:szCs w:val="20"/>
          </w:rPr>
          <w:t>http://www.codexalimentarius.org/standards/thematic-publications/</w:t>
        </w:r>
      </w:hyperlink>
    </w:p>
    <w:p w14:paraId="20643E9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Coruzzi G, Broglie R, Edwards C, Chua N-H (1984) Tissue-specific and light-regulated expression of a pea nuclear gene encoding the small subunit of ribulose-1,5-bisphosphate carboxylase. The EMBO Journal 3(8):1671–1679</w:t>
      </w:r>
    </w:p>
    <w:p w14:paraId="20643E9B"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Coutinho T, Venter SN (2009) </w:t>
      </w:r>
      <w:r w:rsidRPr="008A5547">
        <w:rPr>
          <w:rFonts w:cs="Arial"/>
          <w:i/>
          <w:noProof/>
          <w:color w:val="000000" w:themeColor="text1"/>
          <w:sz w:val="20"/>
          <w:szCs w:val="20"/>
        </w:rPr>
        <w:t>Pantoea ananatis</w:t>
      </w:r>
      <w:r w:rsidRPr="008A5547">
        <w:rPr>
          <w:rFonts w:cs="Arial"/>
          <w:noProof/>
          <w:color w:val="000000" w:themeColor="text1"/>
          <w:sz w:val="20"/>
          <w:szCs w:val="20"/>
        </w:rPr>
        <w:t>: an unconventional plant pathogen. Molecular Plant Pathology 10(3):325–335.</w:t>
      </w:r>
    </w:p>
    <w:p w14:paraId="20643E9E" w14:textId="71A09060" w:rsidR="00333AC0" w:rsidRDefault="00333AC0" w:rsidP="0090425D">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10.1111/J.1364-3703.2009.00542.X. </w:t>
      </w:r>
    </w:p>
    <w:p w14:paraId="20643E9F"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De Baere T, verhelst R, Labit C, Verschraegen G, Wauters G, Claeys G, Vaneechoutte M (2004) Bacteremic infection with </w:t>
      </w:r>
      <w:r w:rsidRPr="008A5547">
        <w:rPr>
          <w:rFonts w:cs="Arial"/>
          <w:i/>
          <w:noProof/>
          <w:color w:val="000000" w:themeColor="text1"/>
          <w:sz w:val="20"/>
          <w:szCs w:val="20"/>
        </w:rPr>
        <w:t>Pantoea ananatis</w:t>
      </w:r>
      <w:r w:rsidRPr="008A5547">
        <w:rPr>
          <w:rFonts w:cs="Arial"/>
          <w:noProof/>
          <w:color w:val="000000" w:themeColor="text1"/>
          <w:sz w:val="20"/>
          <w:szCs w:val="20"/>
        </w:rPr>
        <w:t>. Journal of Clinical Microbiology 42(9):4393–4395.</w:t>
      </w:r>
    </w:p>
    <w:p w14:paraId="20643EA0"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10.1128/JCM.42.9.4393-4395.2004. </w:t>
      </w:r>
    </w:p>
    <w:p w14:paraId="20643EA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DE Maayer P, Chan WY, Rubagotti E, Venter SN, Toth IK, Birch PRJ, Coutinho TA (2014) Analysis of the Pantoea ananatis pan-genome reveals factors underlying its ability to colonize and interact with plant, insect and vertebrate hosts. BMC Genomics 15(404)</w:t>
      </w:r>
    </w:p>
    <w:p w14:paraId="20643EA2"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Delaney B, Astwood JD, Cunny H, Eichen Conn R, Herouet-Guicheney C, MacIntosh S, Meyer LS, Privalle LS, Gao Y, Mattsson J, Levine M, ILSI (2008) Evaluation of protein safety in the context of agricultural biotechnology. Food and Chemical Toxicology 46:S71–S97</w:t>
      </w:r>
    </w:p>
    <w:p w14:paraId="20643EA3"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Depicker A, Stachel S, Dhaese P, Zambryski P, Goodman HM (1982) Nopaline synthase: transcript mapping and DNA sequence. Journal of Molecular and Applied Genetics 1(6):561–573</w:t>
      </w:r>
    </w:p>
    <w:p w14:paraId="20643EA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Donnenberg MSe (2002) </w:t>
      </w:r>
      <w:r w:rsidRPr="008A5547">
        <w:rPr>
          <w:rFonts w:cs="Arial"/>
          <w:i/>
          <w:noProof/>
          <w:color w:val="000000" w:themeColor="text1"/>
          <w:sz w:val="20"/>
          <w:szCs w:val="20"/>
        </w:rPr>
        <w:t>Escherichia coli</w:t>
      </w:r>
      <w:r w:rsidRPr="008A5547">
        <w:rPr>
          <w:rFonts w:cs="Arial"/>
          <w:noProof/>
          <w:color w:val="000000" w:themeColor="text1"/>
          <w:sz w:val="20"/>
          <w:szCs w:val="20"/>
        </w:rPr>
        <w:t>: virulence mechanisms of a versatile pathogen.  Academic Press, San Diego</w:t>
      </w:r>
    </w:p>
    <w:p w14:paraId="20643EA5" w14:textId="77777777" w:rsidR="00333AC0" w:rsidRPr="00DC52EE"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Dunand R, Saichuk J (2014) Rice growth and development. Ch 4 In: Saichuk J (ed) Louisiana rice production handbook (Pub. 2321 (3M) 5/14 Rev.). 4 ed, Louisiana State University Ag Center </w:t>
      </w:r>
      <w:r>
        <w:rPr>
          <w:rFonts w:cs="Arial"/>
          <w:noProof/>
          <w:color w:val="000000" w:themeColor="text1"/>
          <w:sz w:val="20"/>
          <w:szCs w:val="20"/>
        </w:rPr>
        <w:t xml:space="preserve">p. 41–53  </w:t>
      </w:r>
      <w:r w:rsidRPr="00DC52EE">
        <w:rPr>
          <w:rFonts w:cs="Arial"/>
          <w:noProof/>
          <w:color w:val="0000FF"/>
          <w:sz w:val="20"/>
          <w:szCs w:val="20"/>
          <w:u w:val="single"/>
        </w:rPr>
        <w:t>http://www.lsuagcenter.com/topics/crops/rice/variety_trials_recommendations/rice-production-handbook</w:t>
      </w:r>
    </w:p>
    <w:p w14:paraId="20643EA6"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Emanuelsson O, Nielsen H, von Heijne G (1999) ChloroP, a neural network-based method for predicting chloroplast transit peptides and their cleavage sites. Protein Science 8:978–984</w:t>
      </w:r>
    </w:p>
    <w:p w14:paraId="20643EA7"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Enya J, Shinohara H, Yoshida S, Tsukiboshi T, Negishi H, Suyama K, Tsushima S (2007) Culturable Leaf-Associated Bacteria on Tomato Plants and Their Potential as Biological Control Agents. Microbial Ecology 53(4):524–536</w:t>
      </w:r>
    </w:p>
    <w:p w14:paraId="20643EA8"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Ercolini D, Russo F, Torrieri E, Masi P, Villani F (2006) Changes in the spoilage-related microbiota of beef during refrigerated storage under different packaging conditions. Applied and Environmental Microbiology 72(7):4663–4671.</w:t>
      </w:r>
    </w:p>
    <w:p w14:paraId="20643EA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doi:10.1128/AEM.00468-06. </w:t>
      </w:r>
    </w:p>
    <w:p w14:paraId="20643EAA"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FAOSTAT (2017) Online database of the Food and Agriculture Organization of the United Nations.</w:t>
      </w:r>
    </w:p>
    <w:p w14:paraId="20643EAB" w14:textId="77777777" w:rsidR="00333AC0" w:rsidRPr="008A5547" w:rsidRDefault="00286242" w:rsidP="00333AC0">
      <w:pPr>
        <w:tabs>
          <w:tab w:val="left" w:pos="0"/>
        </w:tabs>
        <w:spacing w:after="240"/>
        <w:rPr>
          <w:rFonts w:cs="Arial"/>
          <w:noProof/>
          <w:color w:val="000000" w:themeColor="text1"/>
          <w:sz w:val="20"/>
          <w:szCs w:val="20"/>
          <w:u w:val="single"/>
        </w:rPr>
      </w:pPr>
      <w:hyperlink r:id="rId49" w:history="1">
        <w:r w:rsidR="00333AC0" w:rsidRPr="008A5547">
          <w:rPr>
            <w:rStyle w:val="Hyperlink"/>
            <w:rFonts w:cs="Arial"/>
            <w:noProof/>
            <w:sz w:val="20"/>
            <w:szCs w:val="20"/>
          </w:rPr>
          <w:t>http://faostat3.fao.org/browse/T/TP/E</w:t>
        </w:r>
      </w:hyperlink>
    </w:p>
    <w:p w14:paraId="20643EAC"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FSANZ (2006) Application A564 - Food derived from insect-protected corn line MIR604. Report prepared by Food Standards Australia New Zealand.</w:t>
      </w:r>
    </w:p>
    <w:p w14:paraId="20643EAD" w14:textId="77777777" w:rsidR="00333AC0" w:rsidRPr="008A5547" w:rsidRDefault="00286242" w:rsidP="00333AC0">
      <w:pPr>
        <w:tabs>
          <w:tab w:val="left" w:pos="0"/>
        </w:tabs>
        <w:spacing w:after="240"/>
        <w:rPr>
          <w:rFonts w:cs="Arial"/>
          <w:noProof/>
          <w:color w:val="000000" w:themeColor="text1"/>
          <w:sz w:val="20"/>
          <w:szCs w:val="20"/>
          <w:u w:val="single"/>
        </w:rPr>
      </w:pPr>
      <w:hyperlink r:id="rId50" w:history="1">
        <w:r w:rsidR="00333AC0" w:rsidRPr="008A5547">
          <w:rPr>
            <w:rStyle w:val="Hyperlink"/>
            <w:rFonts w:cs="Arial"/>
            <w:noProof/>
            <w:sz w:val="20"/>
            <w:szCs w:val="20"/>
          </w:rPr>
          <w:t>http://www.foodstandards.gov.au/code/applications/pages/applicationa564foodd2972.aspx</w:t>
        </w:r>
      </w:hyperlink>
    </w:p>
    <w:p w14:paraId="20643EAE"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FSANZ (2008a) Application A1001 - Food derived from insect-protected corn line MIR162. Report prepared by Food Standards Australia New Zealand.</w:t>
      </w:r>
    </w:p>
    <w:p w14:paraId="20643EAF" w14:textId="77777777" w:rsidR="00333AC0" w:rsidRPr="008A5547" w:rsidRDefault="00286242" w:rsidP="00333AC0">
      <w:pPr>
        <w:tabs>
          <w:tab w:val="left" w:pos="0"/>
        </w:tabs>
        <w:spacing w:after="240"/>
        <w:rPr>
          <w:rFonts w:cs="Arial"/>
          <w:noProof/>
          <w:color w:val="000000" w:themeColor="text1"/>
          <w:sz w:val="20"/>
          <w:szCs w:val="20"/>
          <w:u w:val="single"/>
        </w:rPr>
      </w:pPr>
      <w:hyperlink r:id="rId51" w:history="1">
        <w:r w:rsidR="00333AC0" w:rsidRPr="008A5547">
          <w:rPr>
            <w:rStyle w:val="Hyperlink"/>
            <w:rFonts w:cs="Arial"/>
            <w:noProof/>
            <w:sz w:val="20"/>
            <w:szCs w:val="20"/>
          </w:rPr>
          <w:t>http://www.foodstandards.gov.au/code/applications/pages/applicationa1001food3769.aspx</w:t>
        </w:r>
      </w:hyperlink>
    </w:p>
    <w:p w14:paraId="20643EB0"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FSANZ (2008b) Application A580 - Food derived from amylase-modified corn line 3272. Report prepared by Food Standards Australia New Zealand.</w:t>
      </w:r>
    </w:p>
    <w:p w14:paraId="20643EB1" w14:textId="77777777" w:rsidR="00333AC0" w:rsidRPr="008A5547" w:rsidRDefault="00286242" w:rsidP="00333AC0">
      <w:pPr>
        <w:tabs>
          <w:tab w:val="left" w:pos="0"/>
        </w:tabs>
        <w:spacing w:after="240"/>
        <w:rPr>
          <w:rFonts w:cs="Arial"/>
          <w:noProof/>
          <w:color w:val="000000" w:themeColor="text1"/>
          <w:sz w:val="20"/>
          <w:szCs w:val="20"/>
          <w:u w:val="single"/>
        </w:rPr>
      </w:pPr>
      <w:hyperlink r:id="rId52" w:history="1">
        <w:r w:rsidR="00333AC0" w:rsidRPr="008A5547">
          <w:rPr>
            <w:rStyle w:val="Hyperlink"/>
            <w:rFonts w:cs="Arial"/>
            <w:noProof/>
            <w:sz w:val="20"/>
            <w:szCs w:val="20"/>
          </w:rPr>
          <w:t>http://www.foodstandards.gov.au/code/applications/pages/applicationa580foodd3243.aspx</w:t>
        </w:r>
      </w:hyperlink>
    </w:p>
    <w:p w14:paraId="20643EB2"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FSANZ (2012) Application A1060 - Food derived from insect-protected corn line 5307. Report prepared by Food Standards Australia New Zealand.</w:t>
      </w:r>
    </w:p>
    <w:p w14:paraId="20643EB3" w14:textId="77777777" w:rsidR="00333AC0" w:rsidRPr="008A5547" w:rsidRDefault="00286242" w:rsidP="00333AC0">
      <w:pPr>
        <w:tabs>
          <w:tab w:val="left" w:pos="0"/>
        </w:tabs>
        <w:spacing w:after="240"/>
        <w:rPr>
          <w:rFonts w:cs="Arial"/>
          <w:noProof/>
          <w:color w:val="000000" w:themeColor="text1"/>
          <w:sz w:val="20"/>
          <w:szCs w:val="20"/>
          <w:u w:val="single"/>
        </w:rPr>
      </w:pPr>
      <w:hyperlink r:id="rId53" w:history="1">
        <w:r w:rsidR="00333AC0" w:rsidRPr="008A5547">
          <w:rPr>
            <w:rStyle w:val="Hyperlink"/>
            <w:rFonts w:cs="Arial"/>
            <w:noProof/>
            <w:sz w:val="20"/>
            <w:szCs w:val="20"/>
          </w:rPr>
          <w:t>http://www.foodstandards.gov.au/code/applications/pages/applicationa1060food5180.aspx</w:t>
        </w:r>
      </w:hyperlink>
    </w:p>
    <w:p w14:paraId="20643EB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Goodman RE (2006) Practical and predictive bioinformatics methods for the identification of potentially cross-reactive protein matches. Molecular Nutrition and Food Research 50:655–660</w:t>
      </w:r>
    </w:p>
    <w:p w14:paraId="20643EB5"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Gravois KA, Moldenhauer KAK, Lee FN, Norman RJ, Helms RS, Bernhardt JL, Wells BR, Dilday RH, Rohman PC, Blocker MM (1995) Registration of 'Kaybonnet' rice. Crop Science 35(2):587.</w:t>
      </w:r>
    </w:p>
    <w:p w14:paraId="20643EB6" w14:textId="77777777" w:rsidR="00333AC0" w:rsidRPr="00333AC0" w:rsidRDefault="00333AC0" w:rsidP="00011A05">
      <w:pPr>
        <w:tabs>
          <w:tab w:val="left" w:pos="0"/>
        </w:tabs>
        <w:spacing w:after="240"/>
        <w:rPr>
          <w:rFonts w:cs="Arial"/>
          <w:noProof/>
          <w:color w:val="0000FF"/>
          <w:sz w:val="20"/>
          <w:szCs w:val="20"/>
        </w:rPr>
      </w:pPr>
      <w:r w:rsidRPr="00333AC0">
        <w:rPr>
          <w:rFonts w:cs="Arial"/>
          <w:noProof/>
          <w:color w:val="0000FF"/>
          <w:sz w:val="20"/>
          <w:szCs w:val="20"/>
          <w:u w:val="single"/>
        </w:rPr>
        <w:t>https://dl.sciencesocieties.org/publications/cs/abstracts/35/2/CS0350020587?access=0&amp;view=pdf</w:t>
      </w:r>
      <w:r w:rsidRPr="00333AC0">
        <w:rPr>
          <w:rFonts w:cs="Arial"/>
          <w:noProof/>
          <w:color w:val="0000FF"/>
          <w:sz w:val="20"/>
          <w:szCs w:val="20"/>
        </w:rPr>
        <w:t xml:space="preserve">. </w:t>
      </w:r>
    </w:p>
    <w:p w14:paraId="20643EB7"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GRiSP (2013) Rice almanac (4th edition). Report prepared by the Global Rice Science Partnership (GRiSP) and published by the International Rice Research Institute (IRRI), Los Baños (Philippines).</w:t>
      </w:r>
    </w:p>
    <w:p w14:paraId="20643EB8" w14:textId="77777777" w:rsidR="00333AC0" w:rsidRPr="008A5547" w:rsidRDefault="00286242" w:rsidP="00333AC0">
      <w:pPr>
        <w:tabs>
          <w:tab w:val="left" w:pos="0"/>
        </w:tabs>
        <w:spacing w:after="240"/>
        <w:rPr>
          <w:rFonts w:cs="Arial"/>
          <w:noProof/>
          <w:color w:val="000000" w:themeColor="text1"/>
          <w:sz w:val="20"/>
          <w:szCs w:val="20"/>
          <w:u w:val="single"/>
        </w:rPr>
      </w:pPr>
      <w:hyperlink r:id="rId54" w:history="1">
        <w:r w:rsidR="00333AC0" w:rsidRPr="008A5547">
          <w:rPr>
            <w:rStyle w:val="Hyperlink"/>
            <w:rFonts w:cs="Arial"/>
            <w:noProof/>
            <w:sz w:val="20"/>
            <w:szCs w:val="20"/>
          </w:rPr>
          <w:t>http://ricepedia.org/</w:t>
        </w:r>
      </w:hyperlink>
    </w:p>
    <w:p w14:paraId="20643EB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Heiss S, Flicker S, Hamilton DA, Kraft D, Mascarenhas JP, Valenta R (1996) Expression of Zm13, a pollen specific maize protein in </w:t>
      </w:r>
      <w:r w:rsidRPr="008A5547">
        <w:rPr>
          <w:rFonts w:cs="Arial"/>
          <w:i/>
          <w:noProof/>
          <w:color w:val="000000" w:themeColor="text1"/>
          <w:sz w:val="20"/>
          <w:szCs w:val="20"/>
        </w:rPr>
        <w:t>Escherichia coli</w:t>
      </w:r>
      <w:r w:rsidRPr="008A5547">
        <w:rPr>
          <w:rFonts w:cs="Arial"/>
          <w:noProof/>
          <w:color w:val="000000" w:themeColor="text1"/>
          <w:sz w:val="20"/>
          <w:szCs w:val="20"/>
        </w:rPr>
        <w:t xml:space="preserve"> reveals IgE-binding capacity and allergenic potential. FEBS Letters 381:217–221</w:t>
      </w:r>
    </w:p>
    <w:p w14:paraId="20643EB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Herman RA, Ekmay R (2014) Do whole-food animal feeding studies have any value in the safety assessment of GM crops? Regulatory Toxicology and Pharmacology 68:171–174</w:t>
      </w:r>
    </w:p>
    <w:p w14:paraId="20643EBB"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Herman RA, Woolhiser MM, Ladics GS, Korjagin VA, Schafer BW, Storer NP, Green SB, Kan L (2007) Stability of a set of allergens and non-allergens in simulated gastric fluid. International Journal of Food Sciences and Nutrition 58:125–141</w:t>
      </w:r>
    </w:p>
    <w:p w14:paraId="20643EBC"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Heuzé V, Tran G, Hassoun P (2015) Rouch rice (paddy rice). Feedipedia: an open access information system on animal feed resources. A joint online project of INRA, CIRAD, AFZ and FAO.</w:t>
      </w:r>
    </w:p>
    <w:p w14:paraId="20643EBD" w14:textId="77777777" w:rsidR="00333AC0" w:rsidRPr="008A5547" w:rsidRDefault="00286242" w:rsidP="00333AC0">
      <w:pPr>
        <w:tabs>
          <w:tab w:val="left" w:pos="0"/>
        </w:tabs>
        <w:spacing w:after="240"/>
        <w:rPr>
          <w:rFonts w:cs="Arial"/>
          <w:noProof/>
          <w:color w:val="000000" w:themeColor="text1"/>
          <w:sz w:val="20"/>
          <w:szCs w:val="20"/>
          <w:u w:val="single"/>
        </w:rPr>
      </w:pPr>
      <w:hyperlink r:id="rId55" w:history="1">
        <w:r w:rsidR="00333AC0" w:rsidRPr="008A5547">
          <w:rPr>
            <w:rStyle w:val="Hyperlink"/>
            <w:rFonts w:cs="Arial"/>
            <w:noProof/>
            <w:sz w:val="20"/>
            <w:szCs w:val="20"/>
          </w:rPr>
          <w:t>http://www.feedipedia.org/node/226</w:t>
        </w:r>
      </w:hyperlink>
    </w:p>
    <w:p w14:paraId="20643EBE"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Hiei Y, Ohta S, Komari T, Kumashiro T (1994) Efficient transformation of rice (</w:t>
      </w:r>
      <w:r w:rsidRPr="008A5547">
        <w:rPr>
          <w:rFonts w:cs="Arial"/>
          <w:i/>
          <w:noProof/>
          <w:color w:val="000000" w:themeColor="text1"/>
          <w:sz w:val="20"/>
          <w:szCs w:val="20"/>
        </w:rPr>
        <w:t>Oryza sativa</w:t>
      </w:r>
      <w:r w:rsidRPr="008A5547">
        <w:rPr>
          <w:rFonts w:cs="Arial"/>
          <w:noProof/>
          <w:color w:val="000000" w:themeColor="text1"/>
          <w:sz w:val="20"/>
          <w:szCs w:val="20"/>
        </w:rPr>
        <w:t xml:space="preserve"> L.) mediated by </w:t>
      </w:r>
      <w:r w:rsidRPr="008A5547">
        <w:rPr>
          <w:rFonts w:cs="Arial"/>
          <w:i/>
          <w:noProof/>
          <w:color w:val="000000" w:themeColor="text1"/>
          <w:sz w:val="20"/>
          <w:szCs w:val="20"/>
        </w:rPr>
        <w:t>Agrobacterium</w:t>
      </w:r>
      <w:r w:rsidRPr="008A5547">
        <w:rPr>
          <w:rFonts w:cs="Arial"/>
          <w:noProof/>
          <w:color w:val="000000" w:themeColor="text1"/>
          <w:sz w:val="20"/>
          <w:szCs w:val="20"/>
        </w:rPr>
        <w:t xml:space="preserve"> and sequence analysis of the boundaries of the T-DNA. The Plant Journal 6(2):271–282</w:t>
      </w:r>
    </w:p>
    <w:p w14:paraId="20643EBF"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Huby RDJ, Dearman RJ, Kimber I (2000) Why are some proteins allergens? Toxicological Sciences 55:235–246.</w:t>
      </w:r>
    </w:p>
    <w:p w14:paraId="20643EC0"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https://doi.org/10.1093/toxsci/55.2.235. </w:t>
      </w:r>
    </w:p>
    <w:p w14:paraId="20643EC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ILSI (2008) Chapter 5: Golden Rice 2. Comprehensive Reviews in Food Science and Food Safety(7):92–98</w:t>
      </w:r>
    </w:p>
    <w:p w14:paraId="20643EC2"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ILSI (2014) International Life Sciences Institute Crop Composition Database Version 4.0.</w:t>
      </w:r>
    </w:p>
    <w:p w14:paraId="20643EC3" w14:textId="77777777" w:rsidR="00333AC0" w:rsidRPr="00DC52EE" w:rsidRDefault="00333AC0" w:rsidP="00011A05">
      <w:pPr>
        <w:tabs>
          <w:tab w:val="left" w:pos="0"/>
        </w:tabs>
        <w:spacing w:after="240"/>
        <w:rPr>
          <w:color w:val="0000FF"/>
          <w:sz w:val="20"/>
          <w:szCs w:val="20"/>
          <w:u w:val="single"/>
        </w:rPr>
      </w:pPr>
      <w:r w:rsidRPr="00DC52EE">
        <w:rPr>
          <w:color w:val="0000FF"/>
          <w:sz w:val="20"/>
          <w:szCs w:val="20"/>
          <w:u w:val="single"/>
        </w:rPr>
        <w:t xml:space="preserve">https://www.cropcomposition.org/query/index.html </w:t>
      </w:r>
    </w:p>
    <w:p w14:paraId="20643EC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Ito M, Kato T, Matsuda T (2005) Rice allergenic proteins, 14-16 kDa albumin and alpha-globulin, remain insoluble in rice grains recovered from rice miso (rice-containing fermented soybean paste). Bioscience, Biotechnology and Biochemistry 69(6):1137–1144</w:t>
      </w:r>
    </w:p>
    <w:p w14:paraId="20643EC5"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Izumi H, Sugiyama M, Matsuda T, Nakamura R (1999) Structural characterization of the 16-kDa allergen, RA17, in rice seeds. Prediction of the secondary structure and identification of intramolecular disulfide bridges. Bioscience, Biotechnology and Biochemistry 63(12):2059–2063</w:t>
      </w:r>
    </w:p>
    <w:p w14:paraId="20643EC6"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Jensen ON, Podtelejnikov AV, Mann M (1997) Identification of the components of simple protein mixtures by high-accuracy peptide mass mapping and database searching. Annals of Chemistry 69(23):4741–4750</w:t>
      </w:r>
    </w:p>
    <w:p w14:paraId="20643EC7"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Jeon YH, Oh SJ, Yang HJ, Lee SY, Pyun BY (2011) Identification of major rice allergen and their clinical significance in children. Korean Journal of Paediatrics 54(10):414–421</w:t>
      </w:r>
    </w:p>
    <w:p w14:paraId="20643EC8"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Jia Y, Jiah MH, Wang X, Liu G (2012) </w:t>
      </w:r>
      <w:r w:rsidRPr="008A5547">
        <w:rPr>
          <w:rFonts w:cs="Arial"/>
          <w:i/>
          <w:noProof/>
          <w:color w:val="000000" w:themeColor="text1"/>
          <w:sz w:val="20"/>
          <w:szCs w:val="20"/>
        </w:rPr>
        <w:t>Indica</w:t>
      </w:r>
      <w:r w:rsidRPr="008A5547">
        <w:rPr>
          <w:rFonts w:cs="Arial"/>
          <w:noProof/>
          <w:color w:val="000000" w:themeColor="text1"/>
          <w:sz w:val="20"/>
          <w:szCs w:val="20"/>
        </w:rPr>
        <w:t xml:space="preserve"> and </w:t>
      </w:r>
      <w:r w:rsidRPr="008A5547">
        <w:rPr>
          <w:rFonts w:cs="Arial"/>
          <w:i/>
          <w:noProof/>
          <w:color w:val="000000" w:themeColor="text1"/>
          <w:sz w:val="20"/>
          <w:szCs w:val="20"/>
        </w:rPr>
        <w:t>Japonica</w:t>
      </w:r>
      <w:r w:rsidRPr="008A5547">
        <w:rPr>
          <w:rFonts w:cs="Arial"/>
          <w:noProof/>
          <w:color w:val="000000" w:themeColor="text1"/>
          <w:sz w:val="20"/>
          <w:szCs w:val="20"/>
        </w:rPr>
        <w:t xml:space="preserve"> crosses resulting in linkage block and recombination suppression on rice chromosome 12. PLoS ONE (open access) 7(8):e43066.</w:t>
      </w:r>
    </w:p>
    <w:p w14:paraId="20643EC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doi:10.1371/journal.pone.0043066. </w:t>
      </w:r>
    </w:p>
    <w:p w14:paraId="20643EC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Juliano B, Bechtel D (1985) The rice grain and its gross composition. Ch 4 In: Juliano B (ed) Rice: Chemistry and technology. American Association of Cereal Chemists, St Paul, MN, p. 17–57</w:t>
      </w:r>
    </w:p>
    <w:p w14:paraId="20643ECB"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Kim S-I, Veena, Gelvin SB (2007) Genome-wide analysis of </w:t>
      </w:r>
      <w:r w:rsidRPr="008A5547">
        <w:rPr>
          <w:rFonts w:cs="Arial"/>
          <w:i/>
          <w:noProof/>
          <w:color w:val="000000" w:themeColor="text1"/>
          <w:sz w:val="20"/>
          <w:szCs w:val="20"/>
        </w:rPr>
        <w:t>Agrobacterium</w:t>
      </w:r>
      <w:r w:rsidRPr="008A5547">
        <w:rPr>
          <w:rFonts w:cs="Arial"/>
          <w:noProof/>
          <w:color w:val="000000" w:themeColor="text1"/>
          <w:sz w:val="20"/>
          <w:szCs w:val="20"/>
        </w:rPr>
        <w:t xml:space="preserve"> T-DNA integration sites in the Arabidopsis genome generated under non-selective conditions. The Plant Journal 51:779–791</w:t>
      </w:r>
    </w:p>
    <w:p w14:paraId="20643ECC"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Kimber I, Kerkvliet NI, Taylor SL, Astwood JD, Sarlo K, Dearman RJ (1999) Toxicology of protein allergenicity: prediction and characterization. Toxicological Sciences 48(2):157–162</w:t>
      </w:r>
    </w:p>
    <w:p w14:paraId="20643ECD"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Leff JW, Fierer N (2013) Bacterial communities associated with the surfaces of fresh fruits and vegetables. PLoS ONE (open access) 8(3):e593 10.</w:t>
      </w:r>
    </w:p>
    <w:p w14:paraId="20643ECE"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doi:10.1371/journal.pone.0059310. </w:t>
      </w:r>
    </w:p>
    <w:p w14:paraId="20643ECF"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McLaren DS, Kraemer K (2012) Manual on vitamin A deficiency disorders (VADD). World Review of Nutrition &amp; Dietetics, No.103 ed, Karger, Basel</w:t>
      </w:r>
    </w:p>
    <w:p w14:paraId="20643ED0"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Mehr SS, Kakakios AM, Kemp AS (2009) Rice: a common and severe cause of food protein-induced enterocolitis syndrome. Archives of Diseases in Childhood 94:220–223.</w:t>
      </w:r>
    </w:p>
    <w:p w14:paraId="20643ED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doi:10.1136/adc.2008.145144. </w:t>
      </w:r>
    </w:p>
    <w:p w14:paraId="20643ED2"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Mergaert J, Verdonck L, Kersters K (1993) Transfer of </w:t>
      </w:r>
      <w:r w:rsidRPr="008A5547">
        <w:rPr>
          <w:rFonts w:cs="Arial"/>
          <w:i/>
          <w:noProof/>
          <w:color w:val="000000" w:themeColor="text1"/>
          <w:sz w:val="20"/>
          <w:szCs w:val="20"/>
        </w:rPr>
        <w:t>Erwinia ananas</w:t>
      </w:r>
      <w:r w:rsidRPr="008A5547">
        <w:rPr>
          <w:rFonts w:cs="Arial"/>
          <w:noProof/>
          <w:color w:val="000000" w:themeColor="text1"/>
          <w:sz w:val="20"/>
          <w:szCs w:val="20"/>
        </w:rPr>
        <w:t xml:space="preserve"> (synonym, </w:t>
      </w:r>
      <w:r w:rsidRPr="008A5547">
        <w:rPr>
          <w:rFonts w:cs="Arial"/>
          <w:i/>
          <w:noProof/>
          <w:color w:val="000000" w:themeColor="text1"/>
          <w:sz w:val="20"/>
          <w:szCs w:val="20"/>
        </w:rPr>
        <w:t>Erwinia uredovora</w:t>
      </w:r>
      <w:r w:rsidRPr="008A5547">
        <w:rPr>
          <w:rFonts w:cs="Arial"/>
          <w:noProof/>
          <w:color w:val="000000" w:themeColor="text1"/>
          <w:sz w:val="20"/>
          <w:szCs w:val="20"/>
        </w:rPr>
        <w:t xml:space="preserve">) and </w:t>
      </w:r>
      <w:r w:rsidRPr="008A5547">
        <w:rPr>
          <w:rFonts w:cs="Arial"/>
          <w:i/>
          <w:noProof/>
          <w:color w:val="000000" w:themeColor="text1"/>
          <w:sz w:val="20"/>
          <w:szCs w:val="20"/>
        </w:rPr>
        <w:t>Erwinia stewartii</w:t>
      </w:r>
      <w:r w:rsidRPr="008A5547">
        <w:rPr>
          <w:rFonts w:cs="Arial"/>
          <w:noProof/>
          <w:color w:val="000000" w:themeColor="text1"/>
          <w:sz w:val="20"/>
          <w:szCs w:val="20"/>
        </w:rPr>
        <w:t xml:space="preserve"> to the genus </w:t>
      </w:r>
      <w:r w:rsidRPr="008A5547">
        <w:rPr>
          <w:rFonts w:cs="Arial"/>
          <w:i/>
          <w:noProof/>
          <w:color w:val="000000" w:themeColor="text1"/>
          <w:sz w:val="20"/>
          <w:szCs w:val="20"/>
        </w:rPr>
        <w:t xml:space="preserve">Pantoea </w:t>
      </w:r>
      <w:r w:rsidRPr="008A5547">
        <w:rPr>
          <w:rFonts w:cs="Arial"/>
          <w:noProof/>
          <w:color w:val="000000" w:themeColor="text1"/>
          <w:sz w:val="20"/>
          <w:szCs w:val="20"/>
        </w:rPr>
        <w:t xml:space="preserve">emend. as </w:t>
      </w:r>
      <w:r w:rsidRPr="008A5547">
        <w:rPr>
          <w:rFonts w:cs="Arial"/>
          <w:i/>
          <w:noProof/>
          <w:color w:val="000000" w:themeColor="text1"/>
          <w:sz w:val="20"/>
          <w:szCs w:val="20"/>
        </w:rPr>
        <w:t>Pantoea ananas</w:t>
      </w:r>
      <w:r w:rsidRPr="008A5547">
        <w:rPr>
          <w:rFonts w:cs="Arial"/>
          <w:noProof/>
          <w:color w:val="000000" w:themeColor="text1"/>
          <w:sz w:val="20"/>
          <w:szCs w:val="20"/>
        </w:rPr>
        <w:t xml:space="preserve"> (Serrano 1928) comb. nov. and </w:t>
      </w:r>
      <w:r w:rsidRPr="008A5547">
        <w:rPr>
          <w:rFonts w:cs="Arial"/>
          <w:i/>
          <w:noProof/>
          <w:color w:val="000000" w:themeColor="text1"/>
          <w:sz w:val="20"/>
          <w:szCs w:val="20"/>
        </w:rPr>
        <w:t>Pantoea stewartii</w:t>
      </w:r>
      <w:r w:rsidRPr="008A5547">
        <w:rPr>
          <w:rFonts w:cs="Arial"/>
          <w:noProof/>
          <w:color w:val="000000" w:themeColor="text1"/>
          <w:sz w:val="20"/>
          <w:szCs w:val="20"/>
        </w:rPr>
        <w:t xml:space="preserve"> (Smith 1898) comb. nov., respectively, and description of </w:t>
      </w:r>
      <w:r w:rsidRPr="008A5547">
        <w:rPr>
          <w:rFonts w:cs="Arial"/>
          <w:i/>
          <w:noProof/>
          <w:color w:val="000000" w:themeColor="text1"/>
          <w:sz w:val="20"/>
          <w:szCs w:val="20"/>
        </w:rPr>
        <w:t>Pantoea stewartii</w:t>
      </w:r>
      <w:r w:rsidRPr="008A5547">
        <w:rPr>
          <w:rFonts w:cs="Arial"/>
          <w:noProof/>
          <w:color w:val="000000" w:themeColor="text1"/>
          <w:sz w:val="20"/>
          <w:szCs w:val="20"/>
        </w:rPr>
        <w:t xml:space="preserve"> subsp. </w:t>
      </w:r>
      <w:r w:rsidRPr="008A5547">
        <w:rPr>
          <w:rFonts w:cs="Arial"/>
          <w:i/>
          <w:noProof/>
          <w:color w:val="000000" w:themeColor="text1"/>
          <w:sz w:val="20"/>
          <w:szCs w:val="20"/>
        </w:rPr>
        <w:t>indologenes</w:t>
      </w:r>
      <w:r w:rsidRPr="008A5547">
        <w:rPr>
          <w:rFonts w:cs="Arial"/>
          <w:noProof/>
          <w:color w:val="000000" w:themeColor="text1"/>
          <w:sz w:val="20"/>
          <w:szCs w:val="20"/>
        </w:rPr>
        <w:t xml:space="preserve"> subsp. nov. International Journal of Systematic Bacteriology 43(1):162–173</w:t>
      </w:r>
    </w:p>
    <w:p w14:paraId="20643ED3"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Metcalfe DD, Astwood JD, Townsend R, Sampson HA, Taylor SL, Fuchs RL (1996) Assessment of the allergenic potential of foods derived from genetically engineered crop plants. Critical Reviews in Food Science and Nutrition 36 Suppl:S165–S186</w:t>
      </w:r>
    </w:p>
    <w:p w14:paraId="20643ED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Miles JS, Guest JR (1984) Nucleotide sequence and transcriptional start point of the phosphomannose isomerase gene (manA) of </w:t>
      </w:r>
      <w:r w:rsidRPr="008A5547">
        <w:rPr>
          <w:rFonts w:cs="Arial"/>
          <w:i/>
          <w:noProof/>
          <w:color w:val="000000" w:themeColor="text1"/>
          <w:sz w:val="20"/>
          <w:szCs w:val="20"/>
        </w:rPr>
        <w:t>Escherichia coli</w:t>
      </w:r>
      <w:r w:rsidRPr="008A5547">
        <w:rPr>
          <w:rFonts w:cs="Arial"/>
          <w:noProof/>
          <w:color w:val="000000" w:themeColor="text1"/>
          <w:sz w:val="20"/>
          <w:szCs w:val="20"/>
        </w:rPr>
        <w:t>. Gene 32(1-2):41–48</w:t>
      </w:r>
    </w:p>
    <w:p w14:paraId="20643ED5"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Miletich JP, Broze Jr. GJ (1990) b Protein C is not glycosylated at asparagine 329. The Journal of Biological Chemistry 265:11397–11404</w:t>
      </w:r>
    </w:p>
    <w:p w14:paraId="20643ED6"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Misawa N, Nakagawa M, Kobayashi K, Yamano S, Izawa Y, Nakamura K, Harashima K (1990) Elucidation of the </w:t>
      </w:r>
      <w:r w:rsidRPr="008A5547">
        <w:rPr>
          <w:rFonts w:cs="Arial"/>
          <w:i/>
          <w:noProof/>
          <w:color w:val="000000" w:themeColor="text1"/>
          <w:sz w:val="20"/>
          <w:szCs w:val="20"/>
        </w:rPr>
        <w:t>Erwinia uredovora</w:t>
      </w:r>
      <w:r w:rsidRPr="008A5547">
        <w:rPr>
          <w:rFonts w:cs="Arial"/>
          <w:noProof/>
          <w:color w:val="000000" w:themeColor="text1"/>
          <w:sz w:val="20"/>
          <w:szCs w:val="20"/>
        </w:rPr>
        <w:t xml:space="preserve"> carotenoid biosynthetic pathway by functional analysis of gene products expressed in </w:t>
      </w:r>
      <w:r w:rsidRPr="008A5547">
        <w:rPr>
          <w:rFonts w:cs="Arial"/>
          <w:i/>
          <w:noProof/>
          <w:color w:val="000000" w:themeColor="text1"/>
          <w:sz w:val="20"/>
          <w:szCs w:val="20"/>
        </w:rPr>
        <w:t>Escherichia coli</w:t>
      </w:r>
      <w:r w:rsidRPr="008A5547">
        <w:rPr>
          <w:rFonts w:cs="Arial"/>
          <w:noProof/>
          <w:color w:val="000000" w:themeColor="text1"/>
          <w:sz w:val="20"/>
          <w:szCs w:val="20"/>
        </w:rPr>
        <w:t>. Journal of Bacteriology 172(12):6704–6712</w:t>
      </w:r>
    </w:p>
    <w:p w14:paraId="20643ED7"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Mitra J, Bhattacharyya D (2013) Irreversible inactivation of snake venom L-amino acid oxidase by covalent modification during catalysis of L-propargylglycine. FEBS Open Bio 3:135–143</w:t>
      </w:r>
    </w:p>
    <w:p w14:paraId="20643ED8"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Murray MG, Thompson WF (1980) Rapid isolation of higher weight DNA. Nucleic Acids Res 8(19):4321–4325.</w:t>
      </w:r>
    </w:p>
    <w:p w14:paraId="20643ED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10.1093/nar/8.19.4321. </w:t>
      </w:r>
    </w:p>
    <w:p w14:paraId="20643EDA"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Muthayya S, Sugimoto JD, Montgomery S, Maberly GF (2014) An overview of global rice production, supply, trade, and consumption. Annals of the New York Academy of Sciences 1324:7–14.</w:t>
      </w:r>
    </w:p>
    <w:p w14:paraId="20643EDB"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10.1111/nyas.12540. </w:t>
      </w:r>
    </w:p>
    <w:p w14:paraId="20643EDC"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Negrotto D, Jolley M, Beer S, Wenck AR, Hansen G (2000) The use of phosphomannose-isomerase as a selectable marker to recover transgenic maize plants (</w:t>
      </w:r>
      <w:r w:rsidRPr="008A5547">
        <w:rPr>
          <w:rFonts w:cs="Arial"/>
          <w:i/>
          <w:noProof/>
          <w:color w:val="000000" w:themeColor="text1"/>
          <w:sz w:val="20"/>
          <w:szCs w:val="20"/>
        </w:rPr>
        <w:t>Zea mays</w:t>
      </w:r>
      <w:r w:rsidRPr="008A5547">
        <w:rPr>
          <w:rFonts w:cs="Arial"/>
          <w:noProof/>
          <w:color w:val="000000" w:themeColor="text1"/>
          <w:sz w:val="20"/>
          <w:szCs w:val="20"/>
        </w:rPr>
        <w:t xml:space="preserve"> L.) via </w:t>
      </w:r>
      <w:r w:rsidRPr="008A5547">
        <w:rPr>
          <w:rFonts w:cs="Arial"/>
          <w:i/>
          <w:noProof/>
          <w:color w:val="000000" w:themeColor="text1"/>
          <w:sz w:val="20"/>
          <w:szCs w:val="20"/>
        </w:rPr>
        <w:t>Agrobacterium</w:t>
      </w:r>
      <w:r w:rsidRPr="008A5547">
        <w:rPr>
          <w:rFonts w:cs="Arial"/>
          <w:noProof/>
          <w:color w:val="000000" w:themeColor="text1"/>
          <w:sz w:val="20"/>
          <w:szCs w:val="20"/>
        </w:rPr>
        <w:t xml:space="preserve"> transformation. Plant Cell Reports 19:798–803</w:t>
      </w:r>
    </w:p>
    <w:p w14:paraId="20643EDD"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OECD (2002) Consensus document on compositional considerations for new varieties of maize (</w:t>
      </w:r>
      <w:r w:rsidRPr="008A5547">
        <w:rPr>
          <w:rFonts w:cs="Arial"/>
          <w:i/>
          <w:noProof/>
          <w:color w:val="000000" w:themeColor="text1"/>
          <w:sz w:val="20"/>
          <w:szCs w:val="20"/>
        </w:rPr>
        <w:t>Zea mays</w:t>
      </w:r>
      <w:r w:rsidRPr="008A5547">
        <w:rPr>
          <w:rFonts w:cs="Arial"/>
          <w:noProof/>
          <w:color w:val="000000" w:themeColor="text1"/>
          <w:sz w:val="20"/>
          <w:szCs w:val="20"/>
        </w:rPr>
        <w:t>): Key food and feed nutrients, antinutrients and secondard plant metabolites. Organisation for Economic Co-operation and Development, Paris.</w:t>
      </w:r>
    </w:p>
    <w:p w14:paraId="20643EDE" w14:textId="77777777" w:rsidR="00333AC0" w:rsidRPr="008A5547" w:rsidRDefault="00333AC0" w:rsidP="00011A05">
      <w:pPr>
        <w:tabs>
          <w:tab w:val="left" w:pos="0"/>
        </w:tabs>
        <w:spacing w:after="240"/>
        <w:rPr>
          <w:rFonts w:cs="Arial"/>
          <w:noProof/>
          <w:color w:val="000000" w:themeColor="text1"/>
          <w:sz w:val="20"/>
          <w:szCs w:val="20"/>
          <w:u w:val="single"/>
        </w:rPr>
      </w:pPr>
      <w:r w:rsidRPr="00DC52EE">
        <w:rPr>
          <w:rFonts w:cs="Arial"/>
          <w:noProof/>
          <w:sz w:val="20"/>
          <w:szCs w:val="20"/>
        </w:rPr>
        <w:t>http://www.oecd.org/officialdocuments/displaydocumentpdf?cote=env/jm/mono(2002)25&amp;doclanguage=en</w:t>
      </w:r>
    </w:p>
    <w:p w14:paraId="20643EDF"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OECD (2003) Considerations for the safety assessment of animal feedstuffs derived from genetically modified plants. ENV/JM/MONO(2003)10. Organisation for Economic Co-operation and Development, Paris.</w:t>
      </w:r>
    </w:p>
    <w:p w14:paraId="20643EE1" w14:textId="689E8861" w:rsidR="00333AC0" w:rsidRPr="0090425D" w:rsidRDefault="00286242" w:rsidP="0090425D">
      <w:pPr>
        <w:tabs>
          <w:tab w:val="left" w:pos="0"/>
        </w:tabs>
        <w:spacing w:after="240"/>
        <w:rPr>
          <w:rFonts w:cs="Arial"/>
          <w:noProof/>
          <w:color w:val="000000" w:themeColor="text1"/>
          <w:sz w:val="20"/>
          <w:szCs w:val="20"/>
          <w:u w:val="single"/>
        </w:rPr>
      </w:pPr>
      <w:hyperlink r:id="rId56" w:history="1">
        <w:r w:rsidR="00333AC0" w:rsidRPr="008A5547">
          <w:rPr>
            <w:rStyle w:val="Hyperlink"/>
            <w:rFonts w:cs="Arial"/>
            <w:noProof/>
            <w:sz w:val="20"/>
            <w:szCs w:val="20"/>
          </w:rPr>
          <w:t>http://www.oecd.org/officialdocuments/displaydocumentpdf?cote=ENV/JM/MONO(2003)10&amp;doclanguage=en</w:t>
        </w:r>
      </w:hyperlink>
    </w:p>
    <w:p w14:paraId="20643EE2"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OECD (2016) Revised consensus document on compositional considerations fro new varieties of rice (</w:t>
      </w:r>
      <w:r w:rsidRPr="008A5547">
        <w:rPr>
          <w:rFonts w:cs="Arial"/>
          <w:i/>
          <w:noProof/>
          <w:color w:val="000000" w:themeColor="text1"/>
          <w:sz w:val="20"/>
          <w:szCs w:val="20"/>
        </w:rPr>
        <w:t>Oryza sativa</w:t>
      </w:r>
      <w:r w:rsidRPr="008A5547">
        <w:rPr>
          <w:rFonts w:cs="Arial"/>
          <w:noProof/>
          <w:color w:val="000000" w:themeColor="text1"/>
          <w:sz w:val="20"/>
          <w:szCs w:val="20"/>
        </w:rPr>
        <w:t>): key food and feed nutrients, anti-nutrients and other constituents. ENV/JM/MONO(2016)38. Organisation for Economic Co-operation and Development, Paris.</w:t>
      </w:r>
    </w:p>
    <w:p w14:paraId="20643EE3" w14:textId="77777777" w:rsidR="00333AC0" w:rsidRPr="008A5547" w:rsidRDefault="00286242" w:rsidP="00333AC0">
      <w:pPr>
        <w:tabs>
          <w:tab w:val="left" w:pos="0"/>
        </w:tabs>
        <w:spacing w:after="240"/>
        <w:rPr>
          <w:rFonts w:cs="Arial"/>
          <w:noProof/>
          <w:color w:val="000000" w:themeColor="text1"/>
          <w:sz w:val="20"/>
          <w:szCs w:val="20"/>
          <w:u w:val="single"/>
        </w:rPr>
      </w:pPr>
      <w:hyperlink r:id="rId57" w:history="1">
        <w:r w:rsidR="00333AC0" w:rsidRPr="008A5547">
          <w:rPr>
            <w:rStyle w:val="Hyperlink"/>
            <w:rFonts w:cs="Arial"/>
            <w:noProof/>
            <w:sz w:val="20"/>
            <w:szCs w:val="20"/>
          </w:rPr>
          <w:t>http://www.oecd.org/chemicalsafety/biotrack/consensus-document-for-work-on-safety-novel-and-foods-feeds-plants.htm</w:t>
        </w:r>
      </w:hyperlink>
    </w:p>
    <w:p w14:paraId="20643EE4"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OGTR (2005) The biology and ecology of rice (</w:t>
      </w:r>
      <w:r w:rsidRPr="008A5547">
        <w:rPr>
          <w:rFonts w:cs="Arial"/>
          <w:i/>
          <w:noProof/>
          <w:color w:val="000000" w:themeColor="text1"/>
          <w:sz w:val="20"/>
          <w:szCs w:val="20"/>
        </w:rPr>
        <w:t>Oryza sativa</w:t>
      </w:r>
      <w:r w:rsidRPr="008A5547">
        <w:rPr>
          <w:rFonts w:cs="Arial"/>
          <w:noProof/>
          <w:color w:val="000000" w:themeColor="text1"/>
          <w:sz w:val="20"/>
          <w:szCs w:val="20"/>
        </w:rPr>
        <w:t xml:space="preserve"> L.) in Australia. Report prepared by the Australian Government Office of the Gene Technology Regulator.</w:t>
      </w:r>
    </w:p>
    <w:p w14:paraId="20643EE5" w14:textId="77777777" w:rsidR="00333AC0" w:rsidRPr="008A5547" w:rsidRDefault="00286242" w:rsidP="00333AC0">
      <w:pPr>
        <w:tabs>
          <w:tab w:val="left" w:pos="0"/>
        </w:tabs>
        <w:spacing w:after="240"/>
        <w:rPr>
          <w:rFonts w:cs="Arial"/>
          <w:noProof/>
          <w:color w:val="000000" w:themeColor="text1"/>
          <w:sz w:val="20"/>
          <w:szCs w:val="20"/>
          <w:u w:val="single"/>
        </w:rPr>
      </w:pPr>
      <w:hyperlink r:id="rId58" w:history="1">
        <w:r w:rsidR="00333AC0" w:rsidRPr="008A5547">
          <w:rPr>
            <w:rStyle w:val="Hyperlink"/>
            <w:rFonts w:cs="Arial"/>
            <w:noProof/>
            <w:sz w:val="20"/>
            <w:szCs w:val="20"/>
          </w:rPr>
          <w:t>http://www.ogtr.gov.au/internet/ogtr/publishing.nsf/Content/biology-documents-1</w:t>
        </w:r>
      </w:hyperlink>
    </w:p>
    <w:p w14:paraId="20643EE6"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OGTR (2008) The biology of </w:t>
      </w:r>
      <w:r w:rsidRPr="008A5547">
        <w:rPr>
          <w:rFonts w:cs="Arial"/>
          <w:i/>
          <w:noProof/>
          <w:color w:val="000000" w:themeColor="text1"/>
          <w:sz w:val="20"/>
          <w:szCs w:val="20"/>
        </w:rPr>
        <w:t>Zea mays</w:t>
      </w:r>
      <w:r w:rsidRPr="008A5547">
        <w:rPr>
          <w:rFonts w:cs="Arial"/>
          <w:noProof/>
          <w:color w:val="000000" w:themeColor="text1"/>
          <w:sz w:val="20"/>
          <w:szCs w:val="20"/>
        </w:rPr>
        <w:t xml:space="preserve"> L. ssp </w:t>
      </w:r>
      <w:r w:rsidRPr="008A5547">
        <w:rPr>
          <w:rFonts w:cs="Arial"/>
          <w:i/>
          <w:noProof/>
          <w:color w:val="000000" w:themeColor="text1"/>
          <w:sz w:val="20"/>
          <w:szCs w:val="20"/>
        </w:rPr>
        <w:t>mays</w:t>
      </w:r>
      <w:r w:rsidRPr="008A5547">
        <w:rPr>
          <w:rFonts w:cs="Arial"/>
          <w:noProof/>
          <w:color w:val="000000" w:themeColor="text1"/>
          <w:sz w:val="20"/>
          <w:szCs w:val="20"/>
        </w:rPr>
        <w:t xml:space="preserve"> (maize or corn). Prepared by the Office of the Gene Technology Regulator, Australia.</w:t>
      </w:r>
    </w:p>
    <w:p w14:paraId="20643EE7" w14:textId="77777777" w:rsidR="00333AC0" w:rsidRPr="008A5547" w:rsidRDefault="00286242" w:rsidP="00333AC0">
      <w:pPr>
        <w:tabs>
          <w:tab w:val="left" w:pos="0"/>
        </w:tabs>
        <w:spacing w:after="240"/>
        <w:rPr>
          <w:rFonts w:cs="Arial"/>
          <w:noProof/>
          <w:color w:val="000000" w:themeColor="text1"/>
          <w:sz w:val="20"/>
          <w:szCs w:val="20"/>
          <w:u w:val="single"/>
        </w:rPr>
      </w:pPr>
      <w:hyperlink r:id="rId59" w:history="1">
        <w:r w:rsidR="00333AC0" w:rsidRPr="008A5547">
          <w:rPr>
            <w:rStyle w:val="Hyperlink"/>
            <w:rFonts w:cs="Arial"/>
            <w:noProof/>
            <w:sz w:val="20"/>
            <w:szCs w:val="20"/>
          </w:rPr>
          <w:t>http://www.ogtr.gov.au/internet/ogtr/publishing.nsf/Content/riskassessments-1</w:t>
        </w:r>
      </w:hyperlink>
    </w:p>
    <w:p w14:paraId="20643EE8"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Okada K, Saito T, Nakagawa T, Kawamukai M, Kumiya Y (2000) Five geranylgeranyl diphosphate synthases expressed in different organs are localized into three subcellular compartments in Arabidopsis. Plant Physiol 122(4):1045–1056</w:t>
      </w:r>
    </w:p>
    <w:p w14:paraId="20643EE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Orlando R, Yang Y (1998) Analysis of Glycoproteins. Ch 9 In: Larsen BS, McEwen CN (eds) Mass Spectrometry of Biological Materials. 2nd ed, Marcel Dekker, p. 216–246</w:t>
      </w:r>
    </w:p>
    <w:p w14:paraId="20643EE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Paine JA, Shipton CA, Chaggar S, Howells RM, Kennedy MJ, Vernon G, Wright SY, Hinchliffe E, Adams JL, Silverstone AL, Drake R (2005) Improving the nutritional value of Golden Rice through increased pro-vitamin A content. Nature Biotechnology 23:482–487</w:t>
      </w:r>
    </w:p>
    <w:p w14:paraId="20643EEB"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Pastorello EA, Farioli L, Pravettoni V, Scibilia J, Conti A, Fortunato D, Borgonovo L, Bonomi S, Primavesi L, Ballmer-Weber B (2009) Maize food allergy: lipid-transfer proteins, endochitinases, and alpha-zein precursors are relevant maize allergens in double-blind placebo-controlled maize-challenge-positive patients. Analytical and Bioanalytical Chemistry 395(1):93–102.</w:t>
      </w:r>
    </w:p>
    <w:p w14:paraId="20643EEC"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10.1007/s00216-009-2945-z. </w:t>
      </w:r>
    </w:p>
    <w:p w14:paraId="20643EED"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Pastorello EA, Farioli L, Pravettoni V, Ispano M, Scibola E, Trambaioli C, Giuffrida MG, Ansaloni R, Godovac-Zimmermann J, Conti A, Fortunato D, Ortolani C (2000) The maize major allergen, which is responsible for food-induced allergic reactions, is a lipid transfer protein. Journal of Allergy and Clinical Immunology 106(4):744–751</w:t>
      </w:r>
    </w:p>
    <w:p w14:paraId="20643EEE"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Pastorello EA, Pompei C, Pravettoni V, Farioli L, Calamari AM, Scibilia J, Robino AM, Conti A, Iametti S, Fortunato D, Bonomi S, Ortolani C (2003) Lipid-transfer protein is the major maize allergen maintaining IgE-binding activity after cooking at 100 degrees C, as demonstrated in anaphylactic patients and patients with positive double-blind, placebo-controlled food challenge results. Journal of Allergy and Clinical Immunology 112(4):775–783</w:t>
      </w:r>
    </w:p>
    <w:p w14:paraId="20643EEF"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Pearson WR (2000) Flexible Sequence Similarity Searching with the FASTA3 Program Package. Ch 10 In: Misener S, Krawetz SA (eds) Methods in Molecular Biology, Volume 132: Bioinformatics Methods and Protocols. Human Press Inc., Totowa, NJ, p. 185–219</w:t>
      </w:r>
    </w:p>
    <w:p w14:paraId="20643EF0"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Pearson WR (2013) Selecting the right similarity-scoring matrix. Current Protocols in Bioinformatics 43:3.5.1–3.5.9</w:t>
      </w:r>
    </w:p>
    <w:p w14:paraId="20643EF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Pearson WR, Lipman DJ (1988) Improved tools for biological sequence comparison. Proceedings of the National Academy of Sciences 85(8):2444–2448</w:t>
      </w:r>
    </w:p>
    <w:p w14:paraId="20643EF2"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Proudfoot AE, Payton MA, Wells TN (1994a) Purification and characterization of fungal and mammalian phosphomannose isomerases. Journal of Protein Chemistry 13(7):619–627</w:t>
      </w:r>
    </w:p>
    <w:p w14:paraId="20643EF3"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Proudfoot AEI, Turcatti G, Wells TNC, Payton MA, Smith DJ (1994b) Purification cDNA cloning and heterologous expression of human phosphomannose isomerase. The FEBS Journal 219(1-2):415–423.</w:t>
      </w:r>
    </w:p>
    <w:p w14:paraId="20643EF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10.1111/j.1432-1033.1994.tb19954.x. </w:t>
      </w:r>
    </w:p>
    <w:p w14:paraId="20643EF5"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R Development Core Team (2011) R: a language and environment for statistical computing.  The R Foundation for Statistical Computing, Vienna.</w:t>
      </w:r>
    </w:p>
    <w:p w14:paraId="20643EF6" w14:textId="77777777" w:rsidR="00333AC0" w:rsidRPr="008A5547" w:rsidRDefault="00286242" w:rsidP="00333AC0">
      <w:pPr>
        <w:tabs>
          <w:tab w:val="left" w:pos="0"/>
        </w:tabs>
        <w:spacing w:after="240"/>
        <w:rPr>
          <w:rFonts w:cs="Arial"/>
          <w:noProof/>
          <w:color w:val="000000" w:themeColor="text1"/>
          <w:sz w:val="20"/>
          <w:szCs w:val="20"/>
        </w:rPr>
      </w:pPr>
      <w:hyperlink r:id="rId60" w:history="1">
        <w:r w:rsidR="00333AC0" w:rsidRPr="008A5547">
          <w:rPr>
            <w:rStyle w:val="Hyperlink"/>
            <w:rFonts w:cs="Arial"/>
            <w:noProof/>
            <w:sz w:val="20"/>
            <w:szCs w:val="20"/>
          </w:rPr>
          <w:t>http://www.R-project.org/</w:t>
        </w:r>
      </w:hyperlink>
      <w:r w:rsidR="00333AC0" w:rsidRPr="008A5547">
        <w:rPr>
          <w:rFonts w:cs="Arial"/>
          <w:noProof/>
          <w:color w:val="000000" w:themeColor="text1"/>
          <w:sz w:val="20"/>
          <w:szCs w:val="20"/>
          <w:u w:val="single"/>
        </w:rPr>
        <w:t>.</w:t>
      </w:r>
      <w:r w:rsidR="00333AC0" w:rsidRPr="008A5547">
        <w:rPr>
          <w:rFonts w:cs="Arial"/>
          <w:noProof/>
          <w:color w:val="000000" w:themeColor="text1"/>
          <w:sz w:val="20"/>
          <w:szCs w:val="20"/>
        </w:rPr>
        <w:t xml:space="preserve"> </w:t>
      </w:r>
    </w:p>
    <w:p w14:paraId="20643EF7"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Ruiz-Sola MA, Rodriguez-Concepcion M (2012) Carotenoid biosynthesis in Arabidopsis: a colorful pathway. The Arabidopsis Book 10:e0158.</w:t>
      </w:r>
    </w:p>
    <w:p w14:paraId="20643EF8"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10.1199/tab.0158. </w:t>
      </w:r>
    </w:p>
    <w:p w14:paraId="20643EF9"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Schaub P, Al-Babili S, Drake R, Beyer P (2005) Why is golden rice golden (yellow) instead of red? Plant Physiol 138:441–450</w:t>
      </w:r>
    </w:p>
    <w:p w14:paraId="20643EFA"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Shental-Bechor D, Levy Y (2008) Effect of glycosylation on protein folding: a close look at thermodynamic stabilization. Proceedings of the National Academy of Sciences 105(24):8256–8261</w:t>
      </w:r>
    </w:p>
    <w:p w14:paraId="20643EFB"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Simpson RJ (2010) SYPRO Orange fluorescent staining of protein gels. Cold Spring Harbor Protocols 2010(4):pdb.prot5414.</w:t>
      </w:r>
    </w:p>
    <w:p w14:paraId="20643EFC" w14:textId="77777777" w:rsidR="00333AC0" w:rsidRPr="008A5547" w:rsidRDefault="00333AC0" w:rsidP="00011A05">
      <w:pPr>
        <w:tabs>
          <w:tab w:val="left" w:pos="0"/>
        </w:tabs>
        <w:spacing w:after="240"/>
        <w:rPr>
          <w:rFonts w:cs="Arial"/>
          <w:noProof/>
          <w:color w:val="000000" w:themeColor="text1"/>
          <w:sz w:val="20"/>
          <w:szCs w:val="20"/>
        </w:rPr>
      </w:pPr>
      <w:r w:rsidRPr="00333AC0">
        <w:rPr>
          <w:rFonts w:cs="Arial"/>
          <w:noProof/>
          <w:color w:val="0000FF"/>
          <w:sz w:val="20"/>
          <w:szCs w:val="20"/>
          <w:u w:val="single"/>
        </w:rPr>
        <w:t>https://</w:t>
      </w:r>
      <w:hyperlink r:id="rId61" w:history="1">
        <w:r w:rsidRPr="00333AC0">
          <w:rPr>
            <w:rStyle w:val="Hyperlink"/>
            <w:rFonts w:cs="Arial"/>
            <w:noProof/>
            <w:color w:val="0000FF"/>
            <w:sz w:val="20"/>
            <w:szCs w:val="20"/>
          </w:rPr>
          <w:t>www.ncbi.nlm.nih.gov/pubmed/20360368</w:t>
        </w:r>
      </w:hyperlink>
      <w:r w:rsidRPr="008A5547">
        <w:rPr>
          <w:rFonts w:cs="Arial"/>
          <w:noProof/>
          <w:color w:val="000000" w:themeColor="text1"/>
          <w:sz w:val="20"/>
          <w:szCs w:val="20"/>
        </w:rPr>
        <w:t xml:space="preserve">. doi: 10.1101/pdb.prot5414. </w:t>
      </w:r>
    </w:p>
    <w:p w14:paraId="20643EFD"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Suvarna BS (2008) Rice, the allergen. Nepal Journal of Science and Technology 9:195–199</w:t>
      </w:r>
    </w:p>
    <w:p w14:paraId="20643EFE"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Takaiwa F, Ebinuma H, Kikuchi S, Oono K (1987) Nucleotide sequence of a rice glutelin gene. FEBS Letters 22(1):43–47</w:t>
      </w:r>
    </w:p>
    <w:p w14:paraId="20643EFF"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Thomas K, Bannon G, Hefle S, Herouet C, Holsapple M, Ladics G, MacIntosh S, Privalle L (2005) In silico methods for evaluating human allergenicity to novel proteins: International Bioinformatics Workshop Meeting Report February 23 - 24, 2005. Toxicological Sciences 88:307–310</w:t>
      </w:r>
    </w:p>
    <w:p w14:paraId="20643F00"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Thomas K, MacIntosh S, Bannon G, Herouet-Guicheney C, Holsapple M, Ladics G, McClain S, Vieths S, Woolhiser M, Privalle L (2009) Scientific advancement of novel protein allergenicity evaluation: An overview of work from the HESI Protein Allergenicity Technical Committee (2000 - 2008). Food and Chemical Toxicology 47:1041–1050</w:t>
      </w:r>
    </w:p>
    <w:p w14:paraId="20643F01"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w:t>
      </w:r>
      <w:r w:rsidRPr="008A5547">
        <w:rPr>
          <w:rFonts w:cs="Arial"/>
          <w:i/>
          <w:noProof/>
          <w:color w:val="000000" w:themeColor="text1"/>
          <w:sz w:val="20"/>
          <w:szCs w:val="20"/>
        </w:rPr>
        <w:t>in vitro</w:t>
      </w:r>
      <w:r w:rsidRPr="008A5547">
        <w:rPr>
          <w:rFonts w:cs="Arial"/>
          <w:noProof/>
          <w:color w:val="000000" w:themeColor="text1"/>
          <w:sz w:val="20"/>
          <w:szCs w:val="20"/>
        </w:rPr>
        <w:t xml:space="preserve"> pepsin digestion assay protocol used in assessing the safety of novel proteins. Regulatory Toxicology and Pharmacology 39:87–98</w:t>
      </w:r>
    </w:p>
    <w:p w14:paraId="20643F02"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Trcka J, Schäd SG, Scheurer S, Conti A, Vieths S, Gross G, Trautmann A (2012) Rice-Induced anaphylaxis: IgE-mediated allergy against a 56-kDa glycoprotein. International Archives of Allergy and Immunology 158:9–17</w:t>
      </w:r>
    </w:p>
    <w:p w14:paraId="20643F03"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Tzfira T, Li J, Lacroix B, Citosky V (2004) </w:t>
      </w:r>
      <w:r w:rsidRPr="008A5547">
        <w:rPr>
          <w:rFonts w:cs="Arial"/>
          <w:i/>
          <w:noProof/>
          <w:color w:val="000000" w:themeColor="text1"/>
          <w:sz w:val="20"/>
          <w:szCs w:val="20"/>
        </w:rPr>
        <w:t>Agrobacterium</w:t>
      </w:r>
      <w:r w:rsidRPr="008A5547">
        <w:rPr>
          <w:rFonts w:cs="Arial"/>
          <w:noProof/>
          <w:color w:val="000000" w:themeColor="text1"/>
          <w:sz w:val="20"/>
          <w:szCs w:val="20"/>
        </w:rPr>
        <w:t xml:space="preserve"> T-DNA integration: molecules and models. Trends in Genetics 20(8):375–383</w:t>
      </w:r>
    </w:p>
    <w:p w14:paraId="20643F04"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U.S.Pharmacopeia (2000) The United States Pharmacopeia 24. The National Formulary 19th ed.  United States Pharmacopeia Convention, Inc, Rockville, MD</w:t>
      </w:r>
    </w:p>
    <w:p w14:paraId="20643F05"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Usui Y, Nakase M, Hotta H, Urisu A, Aoki N, Kitajima K, Matsuda T (2001) A 33-kDa Allergen from rice (</w:t>
      </w:r>
      <w:r w:rsidRPr="008A5547">
        <w:rPr>
          <w:rFonts w:cs="Arial"/>
          <w:i/>
          <w:noProof/>
          <w:color w:val="000000" w:themeColor="text1"/>
          <w:sz w:val="20"/>
          <w:szCs w:val="20"/>
        </w:rPr>
        <w:t>Oryza sativa</w:t>
      </w:r>
      <w:r w:rsidRPr="008A5547">
        <w:rPr>
          <w:rFonts w:cs="Arial"/>
          <w:noProof/>
          <w:color w:val="000000" w:themeColor="text1"/>
          <w:sz w:val="20"/>
          <w:szCs w:val="20"/>
        </w:rPr>
        <w:t xml:space="preserve"> L. </w:t>
      </w:r>
      <w:r w:rsidRPr="008A5547">
        <w:rPr>
          <w:rFonts w:cs="Arial"/>
          <w:i/>
          <w:noProof/>
          <w:color w:val="000000" w:themeColor="text1"/>
          <w:sz w:val="20"/>
          <w:szCs w:val="20"/>
        </w:rPr>
        <w:t>Japonica</w:t>
      </w:r>
      <w:r w:rsidRPr="008A5547">
        <w:rPr>
          <w:rFonts w:cs="Arial"/>
          <w:noProof/>
          <w:color w:val="000000" w:themeColor="text1"/>
          <w:sz w:val="20"/>
          <w:szCs w:val="20"/>
        </w:rPr>
        <w:t>). The Journal of Biological Chemistry 276(14):11376–11381</w:t>
      </w:r>
    </w:p>
    <w:p w14:paraId="20643F06"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Watanabe K, Sato M (1999) Gut colonization by an ice nucleation active bacterium </w:t>
      </w:r>
      <w:r w:rsidRPr="008A5547">
        <w:rPr>
          <w:rFonts w:cs="Arial"/>
          <w:i/>
          <w:noProof/>
          <w:color w:val="000000" w:themeColor="text1"/>
          <w:sz w:val="20"/>
          <w:szCs w:val="20"/>
        </w:rPr>
        <w:t>(Erwinia) Pantoea ananas</w:t>
      </w:r>
      <w:r w:rsidRPr="008A5547">
        <w:rPr>
          <w:rFonts w:cs="Arial"/>
          <w:noProof/>
          <w:color w:val="000000" w:themeColor="text1"/>
          <w:sz w:val="20"/>
          <w:szCs w:val="20"/>
        </w:rPr>
        <w:t xml:space="preserve"> reduces the cold hardiness of mulberry pyralid larvae. Cryobiology 38(4):281–289.</w:t>
      </w:r>
    </w:p>
    <w:p w14:paraId="20643F07" w14:textId="77777777" w:rsidR="00333AC0" w:rsidRPr="008A5547" w:rsidRDefault="00333AC0" w:rsidP="00011A05">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10.1006/cryo.1999.2169. </w:t>
      </w:r>
    </w:p>
    <w:p w14:paraId="20643F08"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Wu L, Liu R, Niu Y, Lin H, Ye W, Guo L, Hu X (2016) Whole genome sequence of </w:t>
      </w:r>
      <w:r w:rsidRPr="008A5547">
        <w:rPr>
          <w:rFonts w:cs="Arial"/>
          <w:i/>
          <w:noProof/>
          <w:color w:val="000000" w:themeColor="text1"/>
          <w:sz w:val="20"/>
          <w:szCs w:val="20"/>
        </w:rPr>
        <w:t>Pantoea ananatis</w:t>
      </w:r>
      <w:r w:rsidRPr="008A5547">
        <w:rPr>
          <w:rFonts w:cs="Arial"/>
          <w:noProof/>
          <w:color w:val="000000" w:themeColor="text1"/>
          <w:sz w:val="20"/>
          <w:szCs w:val="20"/>
        </w:rPr>
        <w:t xml:space="preserve"> R100, an antagonistic bacterium isolated from rice seed. Journal of Biotechnology 225:1–2.</w:t>
      </w:r>
    </w:p>
    <w:p w14:paraId="20643F09" w14:textId="77777777" w:rsidR="00333AC0" w:rsidRDefault="00286242" w:rsidP="00011A05">
      <w:pPr>
        <w:tabs>
          <w:tab w:val="left" w:pos="0"/>
        </w:tabs>
        <w:rPr>
          <w:rStyle w:val="Hyperlink"/>
          <w:rFonts w:cs="Arial"/>
          <w:noProof/>
          <w:sz w:val="20"/>
          <w:szCs w:val="20"/>
        </w:rPr>
      </w:pPr>
      <w:hyperlink r:id="rId62" w:history="1">
        <w:r w:rsidR="00333AC0" w:rsidRPr="008A5547">
          <w:rPr>
            <w:rStyle w:val="Hyperlink"/>
            <w:rFonts w:cs="Arial"/>
            <w:noProof/>
            <w:sz w:val="20"/>
            <w:szCs w:val="20"/>
          </w:rPr>
          <w:t>http://dx.doi.org/10.1016/j.jbiotec.2016.03.007</w:t>
        </w:r>
      </w:hyperlink>
    </w:p>
    <w:p w14:paraId="20643F0B" w14:textId="77777777" w:rsidR="00333AC0" w:rsidRPr="00333AC0" w:rsidRDefault="00333AC0" w:rsidP="00011A05">
      <w:pPr>
        <w:tabs>
          <w:tab w:val="left" w:pos="0"/>
        </w:tabs>
        <w:rPr>
          <w:rStyle w:val="Hyperlink"/>
          <w:rFonts w:cs="Arial"/>
          <w:noProof/>
          <w:color w:val="000000" w:themeColor="text1"/>
          <w:sz w:val="20"/>
          <w:szCs w:val="20"/>
        </w:rPr>
      </w:pPr>
    </w:p>
    <w:p w14:paraId="20643F0C"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Yeum K-J, Russell RM (2002) Carotenoid bioavailability and bioconversion. Annual Review of Nutrition 22:483–504.</w:t>
      </w:r>
    </w:p>
    <w:p w14:paraId="20643F0E" w14:textId="64BC5046" w:rsidR="00333AC0" w:rsidRDefault="00333AC0" w:rsidP="008D333F">
      <w:pPr>
        <w:tabs>
          <w:tab w:val="left" w:pos="0"/>
        </w:tabs>
        <w:spacing w:after="240"/>
        <w:rPr>
          <w:rFonts w:cs="Arial"/>
          <w:noProof/>
          <w:color w:val="000000" w:themeColor="text1"/>
          <w:sz w:val="20"/>
          <w:szCs w:val="20"/>
        </w:rPr>
      </w:pPr>
      <w:r w:rsidRPr="008A5547">
        <w:rPr>
          <w:rFonts w:cs="Arial"/>
          <w:noProof/>
          <w:color w:val="000000" w:themeColor="text1"/>
          <w:sz w:val="20"/>
          <w:szCs w:val="20"/>
        </w:rPr>
        <w:t xml:space="preserve">DOI: 10.1146/annurev.nutr.22.010402.102834. </w:t>
      </w:r>
    </w:p>
    <w:p w14:paraId="20643F0F"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Zhang J, Xu RJ, Elliott MC, Chen DF (1997) </w:t>
      </w:r>
      <w:r w:rsidRPr="008A5547">
        <w:rPr>
          <w:rFonts w:cs="Arial"/>
          <w:i/>
          <w:noProof/>
          <w:color w:val="000000" w:themeColor="text1"/>
          <w:sz w:val="20"/>
          <w:szCs w:val="20"/>
        </w:rPr>
        <w:t>Agrobacterium</w:t>
      </w:r>
      <w:r w:rsidRPr="008A5547">
        <w:rPr>
          <w:rFonts w:cs="Arial"/>
          <w:noProof/>
          <w:color w:val="000000" w:themeColor="text1"/>
          <w:sz w:val="20"/>
          <w:szCs w:val="20"/>
        </w:rPr>
        <w:t>-mediated transformation of elite indica and japonica rice cultivars. Molecular Biotechnology 8(3):223–231.</w:t>
      </w:r>
    </w:p>
    <w:p w14:paraId="20643F10" w14:textId="77777777" w:rsidR="00333AC0" w:rsidRPr="008A5547" w:rsidRDefault="00333AC0" w:rsidP="00011A05">
      <w:pPr>
        <w:tabs>
          <w:tab w:val="left" w:pos="0"/>
        </w:tabs>
        <w:rPr>
          <w:rFonts w:cs="Arial"/>
          <w:noProof/>
          <w:color w:val="000000" w:themeColor="text1"/>
          <w:sz w:val="20"/>
          <w:szCs w:val="20"/>
        </w:rPr>
      </w:pPr>
      <w:r w:rsidRPr="008A5547">
        <w:rPr>
          <w:rFonts w:cs="Arial"/>
          <w:noProof/>
          <w:color w:val="000000" w:themeColor="text1"/>
          <w:sz w:val="20"/>
          <w:szCs w:val="20"/>
        </w:rPr>
        <w:t xml:space="preserve">DOI:10.1007/BF02760776. </w:t>
      </w:r>
    </w:p>
    <w:p w14:paraId="20643F11" w14:textId="77777777" w:rsidR="00333AC0" w:rsidRPr="008A5547" w:rsidRDefault="00333AC0" w:rsidP="00011A05">
      <w:pPr>
        <w:tabs>
          <w:tab w:val="left" w:pos="0"/>
        </w:tabs>
        <w:rPr>
          <w:rFonts w:cs="Arial"/>
          <w:noProof/>
          <w:color w:val="000000" w:themeColor="text1"/>
          <w:sz w:val="20"/>
          <w:szCs w:val="20"/>
        </w:rPr>
      </w:pPr>
    </w:p>
    <w:p w14:paraId="20643F12" w14:textId="77777777" w:rsidR="00333AC0" w:rsidRPr="008A5547" w:rsidRDefault="00333AC0" w:rsidP="00011A05">
      <w:pPr>
        <w:rPr>
          <w:rFonts w:cs="Arial"/>
          <w:color w:val="000000" w:themeColor="text1"/>
          <w:sz w:val="20"/>
          <w:szCs w:val="20"/>
        </w:rPr>
      </w:pPr>
    </w:p>
    <w:p w14:paraId="20643F13" w14:textId="77777777" w:rsidR="00D5526B" w:rsidRPr="003A01FB" w:rsidRDefault="00D5526B" w:rsidP="003A01FB"/>
    <w:sectPr w:rsidR="00D5526B" w:rsidRPr="003A01FB" w:rsidSect="00011A0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43F3A" w14:textId="77777777" w:rsidR="00BE34F4" w:rsidRDefault="00BE34F4" w:rsidP="00333AC0">
      <w:r>
        <w:separator/>
      </w:r>
    </w:p>
  </w:endnote>
  <w:endnote w:type="continuationSeparator" w:id="0">
    <w:p w14:paraId="20643F3B" w14:textId="77777777" w:rsidR="00BE34F4" w:rsidRDefault="00BE34F4" w:rsidP="0033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harterBT-Roman">
    <w:panose1 w:val="00000000000000000000"/>
    <w:charset w:val="00"/>
    <w:family w:val="auto"/>
    <w:notTrueType/>
    <w:pitch w:val="default"/>
    <w:sig w:usb0="00000003" w:usb1="00000000" w:usb2="00000000" w:usb3="00000000" w:csb0="00000001" w:csb1="00000000"/>
  </w:font>
  <w:font w:name="CharterBT-Italic">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FiraSans-Book">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liver">
    <w:altName w:val="Arial Unicode MS"/>
    <w:panose1 w:val="00000000000000000000"/>
    <w:charset w:val="81"/>
    <w:family w:val="auto"/>
    <w:notTrueType/>
    <w:pitch w:val="default"/>
    <w:sig w:usb0="00000000" w:usb1="09060000" w:usb2="00000010" w:usb3="00000000" w:csb0="00080000" w:csb1="00000000"/>
  </w:font>
  <w:font w:name="TimesNewRoman">
    <w:altName w:val="MS Mincho"/>
    <w:panose1 w:val="00000000000000000000"/>
    <w:charset w:val="80"/>
    <w:family w:val="auto"/>
    <w:notTrueType/>
    <w:pitch w:val="default"/>
    <w:sig w:usb0="00000081" w:usb1="08070000" w:usb2="00000010" w:usb3="00000000" w:csb0="0002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3F3D" w14:textId="77777777" w:rsidR="00BE34F4" w:rsidRDefault="00BE34F4" w:rsidP="00011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643F3E" w14:textId="77777777" w:rsidR="00BE34F4" w:rsidRDefault="00BE3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3F3F" w14:textId="77777777" w:rsidR="00BE34F4" w:rsidRDefault="00BE34F4" w:rsidP="00011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6242">
      <w:rPr>
        <w:rStyle w:val="PageNumber"/>
        <w:noProof/>
      </w:rPr>
      <w:t>2</w:t>
    </w:r>
    <w:r>
      <w:rPr>
        <w:rStyle w:val="PageNumber"/>
      </w:rPr>
      <w:fldChar w:fldCharType="end"/>
    </w:r>
  </w:p>
  <w:p w14:paraId="20643F40" w14:textId="77777777" w:rsidR="00BE34F4" w:rsidRDefault="00BE34F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43F38" w14:textId="77777777" w:rsidR="00BE34F4" w:rsidRDefault="00BE34F4" w:rsidP="00333AC0">
      <w:r>
        <w:separator/>
      </w:r>
    </w:p>
  </w:footnote>
  <w:footnote w:type="continuationSeparator" w:id="0">
    <w:p w14:paraId="20643F39" w14:textId="77777777" w:rsidR="00BE34F4" w:rsidRDefault="00BE34F4" w:rsidP="00333AC0">
      <w:r>
        <w:continuationSeparator/>
      </w:r>
    </w:p>
  </w:footnote>
  <w:footnote w:id="1">
    <w:p w14:paraId="20643F42" w14:textId="77777777" w:rsidR="00BE34F4" w:rsidRPr="0051499C" w:rsidRDefault="00BE34F4">
      <w:pPr>
        <w:pStyle w:val="FootnoteText"/>
        <w:rPr>
          <w:lang w:val="en-AU"/>
        </w:rPr>
      </w:pPr>
      <w:r>
        <w:rPr>
          <w:rStyle w:val="FootnoteReference"/>
        </w:rPr>
        <w:footnoteRef/>
      </w:r>
      <w:r>
        <w:t xml:space="preserve"> </w:t>
      </w:r>
      <w:r>
        <w:rPr>
          <w:lang w:val="en-AU"/>
        </w:rPr>
        <w:t xml:space="preserve">Golden Rice Project: Golden Rice and Intellectual Property - </w:t>
      </w:r>
      <w:hyperlink r:id="rId1" w:history="1">
        <w:r w:rsidRPr="00AC46CC">
          <w:rPr>
            <w:rStyle w:val="Hyperlink"/>
            <w:lang w:val="en-AU"/>
          </w:rPr>
          <w:t>http://www.goldenrice.org/Content1-Who/who4_IP.php</w:t>
        </w:r>
      </w:hyperlink>
      <w:r>
        <w:rPr>
          <w:lang w:val="en-AU"/>
        </w:rPr>
        <w:t xml:space="preserve"> </w:t>
      </w:r>
    </w:p>
  </w:footnote>
  <w:footnote w:id="2">
    <w:p w14:paraId="20643F43" w14:textId="77777777" w:rsidR="00BE34F4" w:rsidRPr="001379A4" w:rsidRDefault="00BE34F4">
      <w:pPr>
        <w:pStyle w:val="FootnoteText"/>
        <w:rPr>
          <w:lang w:val="en-AU"/>
        </w:rPr>
      </w:pPr>
      <w:r>
        <w:rPr>
          <w:rStyle w:val="FootnoteReference"/>
        </w:rPr>
        <w:footnoteRef/>
      </w:r>
      <w:r>
        <w:t xml:space="preserve"> </w:t>
      </w:r>
      <w:r>
        <w:rPr>
          <w:lang w:val="en-AU"/>
        </w:rPr>
        <w:t xml:space="preserve">FAO – Cereal Supply and Demand Brief - </w:t>
      </w:r>
      <w:hyperlink r:id="rId2" w:history="1">
        <w:r w:rsidRPr="00C57671">
          <w:rPr>
            <w:rStyle w:val="Hyperlink"/>
            <w:lang w:val="en-AU"/>
          </w:rPr>
          <w:t>http://www.fao.org/worldfoodsituation/csdb/en/</w:t>
        </w:r>
      </w:hyperlink>
      <w:r>
        <w:rPr>
          <w:lang w:val="en-AU"/>
        </w:rPr>
        <w:t xml:space="preserve"> </w:t>
      </w:r>
    </w:p>
  </w:footnote>
  <w:footnote w:id="3">
    <w:p w14:paraId="20643F44" w14:textId="77777777" w:rsidR="00BE34F4" w:rsidRPr="00934BEC" w:rsidRDefault="00BE34F4">
      <w:pPr>
        <w:pStyle w:val="FootnoteText"/>
        <w:rPr>
          <w:lang w:val="en-AU"/>
        </w:rPr>
      </w:pPr>
      <w:r>
        <w:rPr>
          <w:rStyle w:val="FootnoteReference"/>
        </w:rPr>
        <w:footnoteRef/>
      </w:r>
      <w:r>
        <w:t xml:space="preserve"> </w:t>
      </w:r>
      <w:r>
        <w:rPr>
          <w:lang w:val="en-AU"/>
        </w:rPr>
        <w:t xml:space="preserve">Ricepedia - </w:t>
      </w:r>
      <w:hyperlink r:id="rId3" w:history="1">
        <w:r w:rsidRPr="00861A58">
          <w:rPr>
            <w:rStyle w:val="Hyperlink"/>
            <w:lang w:val="en-AU"/>
          </w:rPr>
          <w:t>http://ricepedia.org/rice-as-food/other-rice-products</w:t>
        </w:r>
      </w:hyperlink>
      <w:r>
        <w:rPr>
          <w:lang w:val="en-AU"/>
        </w:rPr>
        <w:t xml:space="preserve"> </w:t>
      </w:r>
    </w:p>
  </w:footnote>
  <w:footnote w:id="4">
    <w:p w14:paraId="20643F45" w14:textId="77777777" w:rsidR="00BE34F4" w:rsidRPr="00612C5F" w:rsidRDefault="00BE34F4" w:rsidP="00011A05">
      <w:pPr>
        <w:widowControl/>
        <w:autoSpaceDE w:val="0"/>
        <w:autoSpaceDN w:val="0"/>
        <w:adjustRightInd w:val="0"/>
        <w:rPr>
          <w:rFonts w:cs="Arial"/>
          <w:sz w:val="20"/>
          <w:szCs w:val="20"/>
          <w:lang w:eastAsia="en-GB" w:bidi="ar-SA"/>
        </w:rPr>
      </w:pPr>
      <w:r w:rsidRPr="00612C5F">
        <w:rPr>
          <w:rStyle w:val="FootnoteReference"/>
          <w:rFonts w:cs="Arial"/>
          <w:sz w:val="20"/>
          <w:szCs w:val="20"/>
        </w:rPr>
        <w:footnoteRef/>
      </w:r>
      <w:r w:rsidRPr="00612C5F">
        <w:rPr>
          <w:rFonts w:cs="Arial"/>
          <w:sz w:val="20"/>
          <w:szCs w:val="20"/>
        </w:rPr>
        <w:t xml:space="preserve"> </w:t>
      </w:r>
      <w:r w:rsidRPr="00612C5F">
        <w:rPr>
          <w:rFonts w:cs="Arial"/>
          <w:sz w:val="20"/>
          <w:szCs w:val="20"/>
          <w:lang w:val="en-AU"/>
        </w:rPr>
        <w:t xml:space="preserve">FARRP - </w:t>
      </w:r>
      <w:hyperlink r:id="rId4" w:history="1">
        <w:r w:rsidRPr="00612C5F">
          <w:rPr>
            <w:rStyle w:val="Hyperlink"/>
            <w:rFonts w:cs="Arial"/>
            <w:sz w:val="20"/>
            <w:szCs w:val="20"/>
            <w:lang w:eastAsia="en-GB" w:bidi="ar-SA"/>
          </w:rPr>
          <w:t>http://www.allergenonline.org</w:t>
        </w:r>
      </w:hyperlink>
      <w:r w:rsidRPr="00612C5F">
        <w:rPr>
          <w:rFonts w:cs="Arial"/>
          <w:sz w:val="20"/>
          <w:szCs w:val="20"/>
          <w:lang w:eastAsia="en-GB" w:bidi="ar-SA"/>
        </w:rPr>
        <w:t xml:space="preserve"> </w:t>
      </w:r>
    </w:p>
  </w:footnote>
  <w:footnote w:id="5">
    <w:p w14:paraId="20643F46" w14:textId="77777777" w:rsidR="00BE34F4" w:rsidRPr="002B711A" w:rsidRDefault="00BE34F4">
      <w:pPr>
        <w:pStyle w:val="FootnoteText"/>
        <w:rPr>
          <w:lang w:val="en-AU"/>
        </w:rPr>
      </w:pPr>
      <w:r>
        <w:rPr>
          <w:rStyle w:val="FootnoteReference"/>
        </w:rPr>
        <w:footnoteRef/>
      </w:r>
      <w:r>
        <w:t xml:space="preserve"> </w:t>
      </w:r>
      <w:r>
        <w:rPr>
          <w:lang w:val="en-AU"/>
        </w:rPr>
        <w:t xml:space="preserve">Defined as the global gene repertoire and consists of a core genome and an accessory genome </w:t>
      </w:r>
      <w:r>
        <w:rPr>
          <w:noProof/>
          <w:lang w:val="en-AU"/>
        </w:rPr>
        <w:t>(DE Maayer et al. 2014)</w:t>
      </w:r>
    </w:p>
  </w:footnote>
  <w:footnote w:id="6">
    <w:p w14:paraId="20643F47" w14:textId="77777777" w:rsidR="00BE34F4" w:rsidRPr="007C15D6" w:rsidRDefault="00BE34F4">
      <w:pPr>
        <w:pStyle w:val="FootnoteText"/>
        <w:rPr>
          <w:lang w:val="en-AU"/>
        </w:rPr>
      </w:pPr>
      <w:r>
        <w:rPr>
          <w:rStyle w:val="FootnoteReference"/>
        </w:rPr>
        <w:footnoteRef/>
      </w:r>
      <w:r>
        <w:t xml:space="preserve"> </w:t>
      </w:r>
      <w:r>
        <w:rPr>
          <w:lang w:val="en-AU"/>
        </w:rPr>
        <w:t xml:space="preserve">Rice Genome Annotation Project - </w:t>
      </w:r>
      <w:hyperlink r:id="rId5" w:history="1">
        <w:r w:rsidRPr="007F1B43">
          <w:rPr>
            <w:rStyle w:val="Hyperlink"/>
            <w:lang w:val="en-AU"/>
          </w:rPr>
          <w:t>http://rice.plantbiology.msu.edu/</w:t>
        </w:r>
      </w:hyperlink>
      <w:r>
        <w:rPr>
          <w:lang w:val="en-AU"/>
        </w:rPr>
        <w:t xml:space="preserve"> </w:t>
      </w:r>
    </w:p>
  </w:footnote>
  <w:footnote w:id="7">
    <w:p w14:paraId="20643F48" w14:textId="77777777" w:rsidR="00BE34F4" w:rsidRPr="002E67E8" w:rsidRDefault="00BE34F4">
      <w:pPr>
        <w:pStyle w:val="FootnoteText"/>
        <w:rPr>
          <w:lang w:val="en-AU"/>
        </w:rPr>
      </w:pPr>
      <w:r>
        <w:rPr>
          <w:rStyle w:val="FootnoteReference"/>
        </w:rPr>
        <w:footnoteRef/>
      </w:r>
      <w:r>
        <w:t xml:space="preserve"> </w:t>
      </w:r>
      <w:r>
        <w:rPr>
          <w:lang w:val="en-AU"/>
        </w:rPr>
        <w:t xml:space="preserve">ChloroP - </w:t>
      </w:r>
      <w:hyperlink r:id="rId6" w:history="1">
        <w:r w:rsidRPr="002D3E6F">
          <w:rPr>
            <w:rStyle w:val="Hyperlink"/>
            <w:lang w:val="en-AU"/>
          </w:rPr>
          <w:t>http://www.cbs.dtu.dk/services/ChloroP/</w:t>
        </w:r>
      </w:hyperlink>
      <w:r>
        <w:rPr>
          <w:lang w:val="en-AU"/>
        </w:rPr>
        <w:t xml:space="preserve"> </w:t>
      </w:r>
    </w:p>
  </w:footnote>
  <w:footnote w:id="8">
    <w:p w14:paraId="20643F49" w14:textId="77777777" w:rsidR="00BE34F4" w:rsidRPr="00FB151D" w:rsidRDefault="00BE34F4">
      <w:pPr>
        <w:pStyle w:val="FootnoteText"/>
        <w:rPr>
          <w:lang w:val="en-AU"/>
        </w:rPr>
      </w:pPr>
      <w:r>
        <w:rPr>
          <w:rStyle w:val="FootnoteReference"/>
        </w:rPr>
        <w:footnoteRef/>
      </w:r>
      <w:r>
        <w:t xml:space="preserve"> </w:t>
      </w:r>
      <w:r w:rsidRPr="00924E1E">
        <w:rPr>
          <w:rFonts w:cs="Arial"/>
          <w:lang w:eastAsia="en-GB" w:bidi="ar-SA"/>
        </w:rPr>
        <w:t xml:space="preserve">As a consequence of the genetic modification resulting in event MIR604, two nucleotide sequence changes occurred within the </w:t>
      </w:r>
      <w:r w:rsidRPr="00924E1E">
        <w:rPr>
          <w:rFonts w:cs="Arial"/>
          <w:i/>
          <w:iCs/>
          <w:lang w:eastAsia="en-GB" w:bidi="ar-SA"/>
        </w:rPr>
        <w:t xml:space="preserve">pmi </w:t>
      </w:r>
      <w:r>
        <w:rPr>
          <w:rFonts w:cs="Arial"/>
          <w:lang w:eastAsia="en-GB" w:bidi="ar-SA"/>
        </w:rPr>
        <w:t xml:space="preserve">gene </w:t>
      </w:r>
      <w:r w:rsidRPr="00924E1E">
        <w:rPr>
          <w:rFonts w:cs="Arial"/>
          <w:lang w:eastAsia="en-GB" w:bidi="ar-SA"/>
        </w:rPr>
        <w:t>resulting in two amino acid changes; a valine to alanine substitution at position 61 and a glutamine to histidi</w:t>
      </w:r>
      <w:r>
        <w:rPr>
          <w:rFonts w:cs="Arial"/>
          <w:lang w:eastAsia="en-GB" w:bidi="ar-SA"/>
        </w:rPr>
        <w:t xml:space="preserve">ne substitution at position </w:t>
      </w:r>
      <w:r w:rsidRPr="00924E1E">
        <w:rPr>
          <w:rFonts w:cs="Arial"/>
          <w:lang w:eastAsia="en-GB" w:bidi="ar-SA"/>
        </w:rPr>
        <w:t xml:space="preserve">210 </w:t>
      </w:r>
      <w:r w:rsidRPr="00924E1E">
        <w:rPr>
          <w:noProof/>
        </w:rPr>
        <w:t>(FSANZ 2006)</w:t>
      </w:r>
      <w:r w:rsidRPr="00924E1E">
        <w:t xml:space="preserve">. </w:t>
      </w:r>
      <w:r w:rsidRPr="00924E1E">
        <w:rPr>
          <w:rFonts w:cs="Arial"/>
          <w:lang w:eastAsia="en-GB" w:bidi="ar-SA"/>
        </w:rPr>
        <w:t xml:space="preserve">Because of these changes, the amino acid sequence of the PMI protein in GR2E rice was not identical to </w:t>
      </w:r>
      <w:r>
        <w:rPr>
          <w:rFonts w:cs="Arial"/>
          <w:lang w:eastAsia="en-GB" w:bidi="ar-SA"/>
        </w:rPr>
        <w:t xml:space="preserve">the corresponding </w:t>
      </w:r>
      <w:r w:rsidRPr="00924E1E">
        <w:rPr>
          <w:rFonts w:cs="Arial"/>
          <w:lang w:eastAsia="en-GB" w:bidi="ar-SA"/>
        </w:rPr>
        <w:t>sequence of the PMI protein expressed in MIR604 maize.</w:t>
      </w:r>
    </w:p>
  </w:footnote>
  <w:footnote w:id="9">
    <w:p w14:paraId="20643F4A" w14:textId="77777777" w:rsidR="00BE34F4" w:rsidRPr="00BE0C84" w:rsidRDefault="00BE34F4">
      <w:pPr>
        <w:pStyle w:val="FootnoteText"/>
        <w:rPr>
          <w:lang w:val="en-AU"/>
        </w:rPr>
      </w:pPr>
      <w:r>
        <w:rPr>
          <w:rStyle w:val="FootnoteReference"/>
        </w:rPr>
        <w:footnoteRef/>
      </w:r>
      <w:r>
        <w:t xml:space="preserve"> </w:t>
      </w:r>
      <w:r w:rsidRPr="004F2B5C">
        <w:rPr>
          <w:rFonts w:cs="Arial"/>
          <w:color w:val="000000" w:themeColor="text1"/>
          <w:lang w:val="en"/>
        </w:rPr>
        <w:t xml:space="preserve">The rice grain filling stages are separated into the milk, dough and physiological maturity stages. The milk stage is observed when a milky white substance begins to accumulate, usually seven to 10 days after the panicle has emerged from the stem. The dough stage occurs about a week later as the milky substance begins to change and become the texture of bread dough. When rice grains first become firm, they are at the physiological maturity stage </w:t>
      </w:r>
      <w:r w:rsidRPr="004F2B5C">
        <w:rPr>
          <w:rFonts w:cs="Arial"/>
          <w:noProof/>
          <w:color w:val="000000" w:themeColor="text1"/>
          <w:lang w:val="en"/>
        </w:rPr>
        <w:t>(Dunand and Saichuk 2014)</w:t>
      </w:r>
    </w:p>
  </w:footnote>
  <w:footnote w:id="10">
    <w:p w14:paraId="20643F4B" w14:textId="77777777" w:rsidR="00BE34F4" w:rsidRPr="009B08D9" w:rsidRDefault="00BE34F4">
      <w:pPr>
        <w:pStyle w:val="FootnoteText"/>
        <w:rPr>
          <w:lang w:val="en-AU"/>
        </w:rPr>
      </w:pPr>
      <w:r>
        <w:rPr>
          <w:rStyle w:val="FootnoteReference"/>
        </w:rPr>
        <w:footnoteRef/>
      </w:r>
      <w:r>
        <w:t xml:space="preserve"> </w:t>
      </w:r>
      <w:r>
        <w:rPr>
          <w:lang w:val="en-AU"/>
        </w:rPr>
        <w:t>Batac City (Ilocos Norte), Los Ba</w:t>
      </w:r>
      <w:r>
        <w:rPr>
          <w:rFonts w:cs="Arial"/>
          <w:lang w:val="en-AU"/>
        </w:rPr>
        <w:t>ñ</w:t>
      </w:r>
      <w:r>
        <w:rPr>
          <w:lang w:val="en-AU"/>
        </w:rPr>
        <w:t>os (Laguna), Mu</w:t>
      </w:r>
      <w:r>
        <w:rPr>
          <w:rFonts w:cs="Arial"/>
          <w:lang w:val="en-AU"/>
        </w:rPr>
        <w:t>ñ</w:t>
      </w:r>
      <w:r>
        <w:rPr>
          <w:lang w:val="en-AU"/>
        </w:rPr>
        <w:t>oz (Nueva Ecija), San Mateo (Isabela)</w:t>
      </w:r>
    </w:p>
  </w:footnote>
  <w:footnote w:id="11">
    <w:p w14:paraId="20643F4C" w14:textId="77777777" w:rsidR="00BE34F4" w:rsidRPr="00DF46CA" w:rsidRDefault="00BE34F4" w:rsidP="00011A05">
      <w:pPr>
        <w:pStyle w:val="FootnoteText"/>
        <w:rPr>
          <w:lang w:val="en-AU"/>
        </w:rPr>
      </w:pPr>
      <w:r>
        <w:rPr>
          <w:rStyle w:val="FootnoteReference"/>
        </w:rPr>
        <w:footnoteRef/>
      </w:r>
      <w:r>
        <w:t xml:space="preserve"> </w:t>
      </w:r>
      <w:r w:rsidRPr="00A37780">
        <w:rPr>
          <w:sz w:val="18"/>
          <w:szCs w:val="18"/>
          <w:lang w:val="en-AU"/>
        </w:rPr>
        <w:t>Fusion proteins had to be used because of the difficulty of expressing membrane proteins in either prokaryotic or eukaryotic systems.</w:t>
      </w:r>
      <w:r>
        <w:rPr>
          <w:sz w:val="18"/>
          <w:szCs w:val="18"/>
          <w:lang w:val="en-AU"/>
        </w:rPr>
        <w:t xml:space="preserve"> The His tag assists in purification using affinity chromatographic methods. Since it is difficult to remove the tag following purification it is essential the tag does not affect functional activity if the proteins are used in safety studies.</w:t>
      </w:r>
    </w:p>
    <w:p w14:paraId="20643F4D" w14:textId="77777777" w:rsidR="00BE34F4" w:rsidRPr="004504C1" w:rsidRDefault="00BE34F4">
      <w:pPr>
        <w:pStyle w:val="FootnoteText"/>
        <w:rPr>
          <w:lang w:val="en-AU"/>
        </w:rPr>
      </w:pPr>
    </w:p>
  </w:footnote>
  <w:footnote w:id="12">
    <w:p w14:paraId="20643F4E" w14:textId="77777777" w:rsidR="00BE34F4" w:rsidRPr="00671ABD" w:rsidRDefault="00BE34F4" w:rsidP="00011A05">
      <w:pPr>
        <w:pStyle w:val="FootnoteText"/>
        <w:rPr>
          <w:lang w:val="en-AU"/>
        </w:rPr>
      </w:pPr>
      <w:r w:rsidRPr="004F2B5C">
        <w:rPr>
          <w:rStyle w:val="FootnoteReference"/>
          <w:color w:val="000000" w:themeColor="text1"/>
        </w:rPr>
        <w:footnoteRef/>
      </w:r>
      <w:r w:rsidRPr="004F2B5C">
        <w:rPr>
          <w:color w:val="000000" w:themeColor="text1"/>
        </w:rPr>
        <w:t xml:space="preserve"> </w:t>
      </w:r>
      <w:r w:rsidRPr="004F2B5C">
        <w:rPr>
          <w:rFonts w:ascii="Helvetica" w:hAnsi="Helvetica"/>
          <w:color w:val="000000" w:themeColor="text1"/>
        </w:rPr>
        <w:t xml:space="preserve">SYPRO Orange is a sensitive, ready-to-use fluorescent stain for proteins in 1D gels. It is an alternative to the more traditional Coomassie Blue staining </w:t>
      </w:r>
      <w:r w:rsidRPr="004F2B5C">
        <w:rPr>
          <w:rFonts w:ascii="Helvetica" w:hAnsi="Helvetica"/>
          <w:noProof/>
          <w:color w:val="000000" w:themeColor="text1"/>
        </w:rPr>
        <w:t>(Simpson 2010)</w:t>
      </w:r>
    </w:p>
  </w:footnote>
  <w:footnote w:id="13">
    <w:p w14:paraId="20643F4F" w14:textId="77777777" w:rsidR="00BE34F4" w:rsidRPr="00C41A89" w:rsidRDefault="00BE34F4">
      <w:pPr>
        <w:pStyle w:val="FootnoteText"/>
        <w:rPr>
          <w:lang w:val="en-AU"/>
        </w:rPr>
      </w:pPr>
      <w:r>
        <w:rPr>
          <w:rStyle w:val="FootnoteReference"/>
        </w:rPr>
        <w:footnoteRef/>
      </w:r>
      <w:r>
        <w:t xml:space="preserve"> </w:t>
      </w:r>
      <w:hyperlink r:id="rId7" w:history="1">
        <w:r w:rsidRPr="00F24CDB">
          <w:rPr>
            <w:rStyle w:val="Hyperlink"/>
          </w:rPr>
          <w:t>http://www.uniprot.org/</w:t>
        </w:r>
      </w:hyperlink>
      <w:r>
        <w:t xml:space="preserve"> </w:t>
      </w:r>
    </w:p>
  </w:footnote>
  <w:footnote w:id="14">
    <w:p w14:paraId="20643F50" w14:textId="77777777" w:rsidR="00BE34F4" w:rsidRPr="00C41A89" w:rsidRDefault="00BE34F4">
      <w:pPr>
        <w:pStyle w:val="FootnoteText"/>
        <w:rPr>
          <w:lang w:val="en-AU"/>
        </w:rPr>
      </w:pPr>
      <w:r>
        <w:rPr>
          <w:rStyle w:val="FootnoteReference"/>
        </w:rPr>
        <w:footnoteRef/>
      </w:r>
      <w:r>
        <w:t xml:space="preserve"> </w:t>
      </w:r>
      <w:hyperlink r:id="rId8" w:history="1">
        <w:r w:rsidRPr="00F24CDB">
          <w:rPr>
            <w:rStyle w:val="Hyperlink"/>
          </w:rPr>
          <w:t>https://www.ncbi.nlm.nih.gov/</w:t>
        </w:r>
      </w:hyperlink>
      <w:r>
        <w:t xml:space="preserve"> </w:t>
      </w:r>
    </w:p>
  </w:footnote>
  <w:footnote w:id="15">
    <w:p w14:paraId="20643F51" w14:textId="77777777" w:rsidR="00BE34F4" w:rsidRPr="008128CF" w:rsidRDefault="00BE34F4">
      <w:pPr>
        <w:pStyle w:val="FootnoteText"/>
      </w:pPr>
      <w:r>
        <w:rPr>
          <w:rStyle w:val="FootnoteReference"/>
        </w:rPr>
        <w:footnoteRef/>
      </w:r>
      <w:r>
        <w:t xml:space="preserve"> </w:t>
      </w:r>
      <w:hyperlink r:id="rId9" w:history="1">
        <w:r w:rsidRPr="00F24CDB">
          <w:rPr>
            <w:rStyle w:val="Hyperlink"/>
          </w:rPr>
          <w:t>http://www.matrixscience.com/</w:t>
        </w:r>
      </w:hyperlink>
      <w:r>
        <w:t xml:space="preserve"> </w:t>
      </w:r>
    </w:p>
  </w:footnote>
  <w:footnote w:id="16">
    <w:p w14:paraId="20643F52" w14:textId="77777777" w:rsidR="00BE34F4" w:rsidRPr="00583F01" w:rsidRDefault="00BE34F4">
      <w:pPr>
        <w:pStyle w:val="FootnoteText"/>
        <w:rPr>
          <w:lang w:val="en-AU"/>
        </w:rPr>
      </w:pPr>
      <w:r>
        <w:rPr>
          <w:rStyle w:val="FootnoteReference"/>
        </w:rPr>
        <w:footnoteRef/>
      </w:r>
      <w:r>
        <w:t xml:space="preserve"> </w:t>
      </w:r>
      <w:r w:rsidRPr="00980AF7">
        <w:rPr>
          <w:rFonts w:cs="Arial"/>
          <w:sz w:val="18"/>
        </w:rPr>
        <w:t>The BLOSUM series of matrices tabulate the frequency with which different substitutions occur in conserved blocks of protein sequences and are effective in identifying distant relationships.</w:t>
      </w:r>
      <w:r>
        <w:rPr>
          <w:rFonts w:cs="Arial"/>
          <w:sz w:val="18"/>
        </w:rPr>
        <w:t xml:space="preserve">  BLOSOM50 is the default for the FASTA programmes </w:t>
      </w:r>
      <w:r>
        <w:rPr>
          <w:rFonts w:cs="Arial"/>
          <w:noProof/>
          <w:sz w:val="18"/>
        </w:rPr>
        <w:t>(Pearson 2013)</w:t>
      </w:r>
      <w:r>
        <w:rPr>
          <w:rFonts w:cs="Arial"/>
          <w:sz w:val="18"/>
        </w:rPr>
        <w:t>.</w:t>
      </w:r>
    </w:p>
  </w:footnote>
  <w:footnote w:id="17">
    <w:p w14:paraId="20643F53" w14:textId="77777777" w:rsidR="00BE34F4" w:rsidRPr="00EE1058" w:rsidRDefault="00BE34F4">
      <w:pPr>
        <w:pStyle w:val="FootnoteText"/>
        <w:rPr>
          <w:lang w:val="en-AU"/>
        </w:rPr>
      </w:pPr>
      <w:r>
        <w:rPr>
          <w:rStyle w:val="FootnoteReference"/>
        </w:rPr>
        <w:footnoteRef/>
      </w:r>
      <w:r>
        <w:t xml:space="preserve"> </w:t>
      </w:r>
      <w:r w:rsidRPr="00EE1058">
        <w:t>http://www.uniprot.org/</w:t>
      </w:r>
    </w:p>
  </w:footnote>
  <w:footnote w:id="18">
    <w:p w14:paraId="20643F54" w14:textId="77777777" w:rsidR="00BE34F4" w:rsidRPr="00583F01" w:rsidRDefault="00BE34F4">
      <w:pPr>
        <w:pStyle w:val="FootnoteText"/>
        <w:rPr>
          <w:lang w:val="en-AU"/>
        </w:rPr>
      </w:pPr>
      <w:r>
        <w:rPr>
          <w:rStyle w:val="FootnoteReference"/>
        </w:rPr>
        <w:footnoteRef/>
      </w:r>
      <w:r>
        <w:t xml:space="preserve"> </w:t>
      </w:r>
      <w:r w:rsidRPr="00980AF7">
        <w:rPr>
          <w:rFonts w:cs="Arial"/>
          <w:color w:val="000000" w:themeColor="text1"/>
          <w:sz w:val="18"/>
        </w:rPr>
        <w:t>Comparisons between highly homologous proteins yield E-values approaching zero, indicating the very low probability that such matches would occur by chance. A larger E-value indicates a lower degree of similarity.</w:t>
      </w:r>
      <w:r>
        <w:rPr>
          <w:rFonts w:cs="Arial"/>
          <w:color w:val="000000" w:themeColor="text1"/>
          <w:sz w:val="18"/>
        </w:rPr>
        <w:t xml:space="preserve"> </w:t>
      </w:r>
      <w:r w:rsidRPr="00980AF7">
        <w:rPr>
          <w:rFonts w:eastAsiaTheme="minorHAnsi" w:cs="Arial"/>
          <w:sz w:val="18"/>
        </w:rPr>
        <w:t xml:space="preserve">Typically, alignments between two sequences will need to have an </w:t>
      </w:r>
      <w:r w:rsidRPr="00980AF7">
        <w:rPr>
          <w:rFonts w:eastAsiaTheme="minorHAnsi" w:cs="Arial"/>
          <w:i/>
          <w:iCs/>
          <w:sz w:val="18"/>
        </w:rPr>
        <w:t>E</w:t>
      </w:r>
      <w:r w:rsidRPr="00980AF7">
        <w:rPr>
          <w:rFonts w:eastAsiaTheme="minorHAnsi" w:cs="Arial"/>
          <w:sz w:val="18"/>
        </w:rPr>
        <w:t>-score of 1e</w:t>
      </w:r>
      <w:r w:rsidRPr="00583F01">
        <w:rPr>
          <w:rFonts w:eastAsiaTheme="minorHAnsi" w:cs="Arial"/>
          <w:sz w:val="18"/>
          <w:vertAlign w:val="superscript"/>
        </w:rPr>
        <w:t>-5</w:t>
      </w:r>
      <w:r w:rsidRPr="00980AF7">
        <w:rPr>
          <w:rFonts w:eastAsiaTheme="minorHAnsi" w:cs="Arial"/>
          <w:sz w:val="18"/>
        </w:rPr>
        <w:t xml:space="preserve"> (1×10</w:t>
      </w:r>
      <w:r w:rsidRPr="00583F01">
        <w:rPr>
          <w:rFonts w:eastAsiaTheme="minorHAnsi" w:cs="Arial"/>
          <w:sz w:val="18"/>
          <w:vertAlign w:val="superscript"/>
        </w:rPr>
        <w:t>-5</w:t>
      </w:r>
      <w:r w:rsidRPr="00980AF7">
        <w:rPr>
          <w:rFonts w:eastAsiaTheme="minorHAnsi" w:cs="Arial"/>
          <w:sz w:val="18"/>
        </w:rPr>
        <w:t>) or smaller to be considered to have significant homology.</w:t>
      </w:r>
    </w:p>
  </w:footnote>
  <w:footnote w:id="19">
    <w:p w14:paraId="20643F55" w14:textId="77777777" w:rsidR="00BE34F4" w:rsidRPr="00797A3B" w:rsidRDefault="00BE34F4">
      <w:pPr>
        <w:pStyle w:val="FootnoteText"/>
        <w:rPr>
          <w:lang w:val="en-AU"/>
        </w:rPr>
      </w:pPr>
      <w:r>
        <w:rPr>
          <w:rStyle w:val="FootnoteReference"/>
        </w:rPr>
        <w:footnoteRef/>
      </w:r>
      <w:r>
        <w:t xml:space="preserve"> </w:t>
      </w:r>
      <w:r>
        <w:rPr>
          <w:lang w:val="en-AU"/>
        </w:rPr>
        <w:t xml:space="preserve">AllergenOnline - </w:t>
      </w:r>
      <w:hyperlink r:id="rId10" w:history="1">
        <w:r w:rsidRPr="00C46C88">
          <w:rPr>
            <w:rStyle w:val="Hyperlink"/>
            <w:lang w:val="en-AU"/>
          </w:rPr>
          <w:t>http://www.allergenonline.org/</w:t>
        </w:r>
      </w:hyperlink>
      <w:r>
        <w:rPr>
          <w:lang w:val="en-AU"/>
        </w:rPr>
        <w:t xml:space="preserve"> </w:t>
      </w:r>
    </w:p>
  </w:footnote>
  <w:footnote w:id="20">
    <w:p w14:paraId="20643F56" w14:textId="77777777" w:rsidR="00BE34F4" w:rsidRPr="00A37780" w:rsidRDefault="00BE34F4" w:rsidP="00011A05">
      <w:pPr>
        <w:pStyle w:val="FootnoteText"/>
        <w:rPr>
          <w:sz w:val="18"/>
          <w:szCs w:val="18"/>
          <w:lang w:val="en-AU"/>
        </w:rPr>
      </w:pPr>
      <w:r w:rsidRPr="00A37780">
        <w:rPr>
          <w:rStyle w:val="FootnoteReference"/>
          <w:sz w:val="18"/>
          <w:szCs w:val="18"/>
        </w:rPr>
        <w:footnoteRef/>
      </w:r>
      <w:r w:rsidRPr="00A37780">
        <w:rPr>
          <w:sz w:val="18"/>
          <w:szCs w:val="18"/>
        </w:rPr>
        <w:t xml:space="preserve"> </w:t>
      </w:r>
      <w:r w:rsidRPr="00A37780">
        <w:rPr>
          <w:sz w:val="18"/>
          <w:szCs w:val="18"/>
          <w:lang w:val="en-AU"/>
        </w:rPr>
        <w:t xml:space="preserve">GlycoEP - </w:t>
      </w:r>
      <w:hyperlink r:id="rId11" w:history="1">
        <w:r w:rsidRPr="00A37780">
          <w:rPr>
            <w:rStyle w:val="Hyperlink"/>
            <w:sz w:val="18"/>
            <w:szCs w:val="18"/>
            <w:lang w:val="en-AU"/>
          </w:rPr>
          <w:t>http://www.imtech.res.in/raghava/glycoep/index.html</w:t>
        </w:r>
      </w:hyperlink>
      <w:r w:rsidRPr="00A37780">
        <w:rPr>
          <w:sz w:val="18"/>
          <w:szCs w:val="18"/>
          <w:lang w:val="en-AU"/>
        </w:rPr>
        <w:t xml:space="preserve"> </w:t>
      </w:r>
    </w:p>
  </w:footnote>
  <w:footnote w:id="21">
    <w:p w14:paraId="20643F57" w14:textId="77777777" w:rsidR="00BE34F4" w:rsidRPr="009B0156" w:rsidRDefault="00BE34F4">
      <w:pPr>
        <w:pStyle w:val="FootnoteText"/>
        <w:rPr>
          <w:lang w:val="en-AU"/>
        </w:rPr>
      </w:pPr>
      <w:r>
        <w:rPr>
          <w:rStyle w:val="FootnoteReference"/>
        </w:rPr>
        <w:footnoteRef/>
      </w:r>
      <w:r>
        <w:t xml:space="preserve"> </w:t>
      </w:r>
      <w:r>
        <w:rPr>
          <w:rFonts w:cs="Arial"/>
          <w:szCs w:val="22"/>
          <w:lang w:eastAsia="en-GB" w:bidi="ar-SA"/>
        </w:rPr>
        <w:t>the band, close to 42 kDa, seen in all SDS-PAGE samples containing SGF was attributable to pepsin (mw – 35 kDa)</w:t>
      </w:r>
      <w:r w:rsidRPr="009B0156">
        <w:rPr>
          <w:rFonts w:cs="Arial"/>
          <w:szCs w:val="22"/>
          <w:lang w:eastAsia="en-GB" w:bidi="ar-SA"/>
        </w:rPr>
        <w:t>.</w:t>
      </w:r>
    </w:p>
  </w:footnote>
  <w:footnote w:id="22">
    <w:p w14:paraId="20643F58" w14:textId="77777777" w:rsidR="00BE34F4" w:rsidRPr="005A12E2" w:rsidRDefault="00BE34F4">
      <w:pPr>
        <w:pStyle w:val="FootnoteText"/>
        <w:rPr>
          <w:lang w:val="en-AU"/>
        </w:rPr>
      </w:pPr>
      <w:r>
        <w:rPr>
          <w:rStyle w:val="FootnoteReference"/>
        </w:rPr>
        <w:footnoteRef/>
      </w:r>
      <w:r>
        <w:t xml:space="preserve"> </w:t>
      </w:r>
      <w:hyperlink r:id="rId12" w:history="1">
        <w:r w:rsidRPr="00BB144B">
          <w:rPr>
            <w:rStyle w:val="Hyperlink"/>
          </w:rPr>
          <w:t>https://www.ncbi.nlm.nih.gov/Class/MLACourse/Original8Hour/Entrez/</w:t>
        </w:r>
      </w:hyperlink>
      <w:r>
        <w:t xml:space="preserve"> </w:t>
      </w:r>
    </w:p>
  </w:footnote>
  <w:footnote w:id="23">
    <w:p w14:paraId="20643F59" w14:textId="77777777" w:rsidR="00BE34F4" w:rsidRPr="009B08D9" w:rsidRDefault="00BE34F4" w:rsidP="00011A05">
      <w:pPr>
        <w:pStyle w:val="FootnoteText"/>
        <w:rPr>
          <w:lang w:val="en-AU"/>
        </w:rPr>
      </w:pPr>
      <w:r>
        <w:rPr>
          <w:rStyle w:val="FootnoteReference"/>
        </w:rPr>
        <w:footnoteRef/>
      </w:r>
      <w:r>
        <w:t xml:space="preserve"> </w:t>
      </w:r>
      <w:r>
        <w:rPr>
          <w:lang w:val="en-AU"/>
        </w:rPr>
        <w:t>Batac City (Ilocos Norte), Los Ba</w:t>
      </w:r>
      <w:r>
        <w:rPr>
          <w:rFonts w:cs="Arial"/>
          <w:lang w:val="en-AU"/>
        </w:rPr>
        <w:t>ñ</w:t>
      </w:r>
      <w:r>
        <w:rPr>
          <w:lang w:val="en-AU"/>
        </w:rPr>
        <w:t>os (Laguna), Mu</w:t>
      </w:r>
      <w:r>
        <w:rPr>
          <w:rFonts w:cs="Arial"/>
          <w:lang w:val="en-AU"/>
        </w:rPr>
        <w:t>ñ</w:t>
      </w:r>
      <w:r>
        <w:rPr>
          <w:lang w:val="en-AU"/>
        </w:rPr>
        <w:t>oz (Nueva Ecija), San Mateo (Isabela)</w:t>
      </w:r>
    </w:p>
  </w:footnote>
  <w:footnote w:id="24">
    <w:p w14:paraId="20643F5A" w14:textId="77777777" w:rsidR="00BE34F4" w:rsidRPr="00B43CD4" w:rsidRDefault="00BE34F4">
      <w:pPr>
        <w:pStyle w:val="FootnoteText"/>
        <w:rPr>
          <w:lang w:val="en-AU"/>
        </w:rPr>
      </w:pPr>
      <w:r>
        <w:rPr>
          <w:rStyle w:val="FootnoteReference"/>
        </w:rPr>
        <w:footnoteRef/>
      </w:r>
      <w:r>
        <w:t xml:space="preserve"> </w:t>
      </w:r>
      <w:r w:rsidRPr="00AE4A27">
        <w:rPr>
          <w:rFonts w:cs="Arial"/>
          <w:color w:val="000000" w:themeColor="text1"/>
          <w:szCs w:val="22"/>
          <w:lang w:eastAsia="en-GB" w:bidi="ar-SA"/>
        </w:rPr>
        <w:t>Paddy rice (also known as ‘rough’ rice) is the name given to harvested and threshed rice grains that comprise an outer hull (also called husk) layer plus germ and bran layers.</w:t>
      </w:r>
    </w:p>
  </w:footnote>
  <w:footnote w:id="25">
    <w:p w14:paraId="20643F5B" w14:textId="77777777" w:rsidR="00BE34F4" w:rsidRPr="004E50AE" w:rsidRDefault="00BE34F4">
      <w:pPr>
        <w:pStyle w:val="FootnoteText"/>
        <w:rPr>
          <w:sz w:val="18"/>
          <w:szCs w:val="18"/>
          <w:lang w:val="en-AU"/>
        </w:rPr>
      </w:pPr>
      <w:r w:rsidRPr="004E50AE">
        <w:rPr>
          <w:rStyle w:val="FootnoteReference"/>
          <w:sz w:val="18"/>
          <w:szCs w:val="18"/>
        </w:rPr>
        <w:footnoteRef/>
      </w:r>
      <w:r w:rsidRPr="004E50AE">
        <w:rPr>
          <w:sz w:val="18"/>
          <w:szCs w:val="18"/>
        </w:rPr>
        <w:t xml:space="preserve"> </w:t>
      </w:r>
      <w:r w:rsidRPr="004E50AE">
        <w:rPr>
          <w:sz w:val="18"/>
          <w:szCs w:val="18"/>
          <w:lang w:val="en-AU"/>
        </w:rPr>
        <w:t>All website refe</w:t>
      </w:r>
      <w:r>
        <w:rPr>
          <w:sz w:val="18"/>
          <w:szCs w:val="18"/>
          <w:lang w:val="en-AU"/>
        </w:rPr>
        <w:t>rences were current as of 7 July</w:t>
      </w:r>
      <w:r w:rsidRPr="004E50AE">
        <w:rPr>
          <w:sz w:val="18"/>
          <w:szCs w:val="18"/>
          <w:lang w:val="en-AU"/>
        </w:rPr>
        <w:t xml:space="preserv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3F41" w14:textId="77777777" w:rsidR="00BE34F4" w:rsidRDefault="00BE34F4">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0D2"/>
    <w:multiLevelType w:val="hybridMultilevel"/>
    <w:tmpl w:val="5C9A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B47747"/>
    <w:multiLevelType w:val="hybridMultilevel"/>
    <w:tmpl w:val="41BE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45331A7"/>
    <w:multiLevelType w:val="hybridMultilevel"/>
    <w:tmpl w:val="3C5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FF6052"/>
    <w:multiLevelType w:val="hybridMultilevel"/>
    <w:tmpl w:val="FFB696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89078B"/>
    <w:multiLevelType w:val="hybridMultilevel"/>
    <w:tmpl w:val="9E7A49F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nsid w:val="2BCE43C0"/>
    <w:multiLevelType w:val="hybridMultilevel"/>
    <w:tmpl w:val="E0DE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2042CC"/>
    <w:multiLevelType w:val="hybridMultilevel"/>
    <w:tmpl w:val="8C5C1D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4002AD"/>
    <w:multiLevelType w:val="hybridMultilevel"/>
    <w:tmpl w:val="C248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5F3D6D0D"/>
    <w:multiLevelType w:val="hybridMultilevel"/>
    <w:tmpl w:val="C6203F1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nsid w:val="64473E37"/>
    <w:multiLevelType w:val="hybridMultilevel"/>
    <w:tmpl w:val="EA56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BD346A"/>
    <w:multiLevelType w:val="hybridMultilevel"/>
    <w:tmpl w:val="0D4A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F04054"/>
    <w:multiLevelType w:val="hybridMultilevel"/>
    <w:tmpl w:val="7F78B978"/>
    <w:lvl w:ilvl="0" w:tplc="C0808400">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321B2D"/>
    <w:multiLevelType w:val="hybridMultilevel"/>
    <w:tmpl w:val="A12C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59319C"/>
    <w:multiLevelType w:val="hybridMultilevel"/>
    <w:tmpl w:val="F67C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AF1067"/>
    <w:multiLevelType w:val="hybridMultilevel"/>
    <w:tmpl w:val="D1BC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CC1C10"/>
    <w:multiLevelType w:val="hybridMultilevel"/>
    <w:tmpl w:val="B73A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14"/>
  </w:num>
  <w:num w:numId="5">
    <w:abstractNumId w:val="18"/>
  </w:num>
  <w:num w:numId="6">
    <w:abstractNumId w:val="3"/>
  </w:num>
  <w:num w:numId="7">
    <w:abstractNumId w:val="6"/>
  </w:num>
  <w:num w:numId="8">
    <w:abstractNumId w:val="11"/>
  </w:num>
  <w:num w:numId="9">
    <w:abstractNumId w:val="0"/>
  </w:num>
  <w:num w:numId="10">
    <w:abstractNumId w:val="4"/>
  </w:num>
  <w:num w:numId="11">
    <w:abstractNumId w:val="15"/>
  </w:num>
  <w:num w:numId="12">
    <w:abstractNumId w:val="7"/>
  </w:num>
  <w:num w:numId="13">
    <w:abstractNumId w:val="16"/>
  </w:num>
  <w:num w:numId="14">
    <w:abstractNumId w:val="17"/>
  </w:num>
  <w:num w:numId="15">
    <w:abstractNumId w:val="13"/>
  </w:num>
  <w:num w:numId="16">
    <w:abstractNumId w:val="1"/>
  </w:num>
  <w:num w:numId="17">
    <w:abstractNumId w:val="8"/>
  </w:num>
  <w:num w:numId="18">
    <w:abstractNumId w:val="1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333AC0"/>
    <w:rsid w:val="0000542C"/>
    <w:rsid w:val="00011A05"/>
    <w:rsid w:val="00026FA0"/>
    <w:rsid w:val="00041643"/>
    <w:rsid w:val="000622E7"/>
    <w:rsid w:val="00066854"/>
    <w:rsid w:val="00066D85"/>
    <w:rsid w:val="000A38F8"/>
    <w:rsid w:val="000F2196"/>
    <w:rsid w:val="00145F8F"/>
    <w:rsid w:val="001734EA"/>
    <w:rsid w:val="00184403"/>
    <w:rsid w:val="00191770"/>
    <w:rsid w:val="001C5126"/>
    <w:rsid w:val="001E696B"/>
    <w:rsid w:val="0022311E"/>
    <w:rsid w:val="002232B1"/>
    <w:rsid w:val="00234C31"/>
    <w:rsid w:val="00286242"/>
    <w:rsid w:val="0033021F"/>
    <w:rsid w:val="00333AC0"/>
    <w:rsid w:val="00341D25"/>
    <w:rsid w:val="003A01FB"/>
    <w:rsid w:val="00404702"/>
    <w:rsid w:val="00441D77"/>
    <w:rsid w:val="00443F05"/>
    <w:rsid w:val="00486619"/>
    <w:rsid w:val="004D3868"/>
    <w:rsid w:val="004E132B"/>
    <w:rsid w:val="004E4D1F"/>
    <w:rsid w:val="004E6694"/>
    <w:rsid w:val="0054036E"/>
    <w:rsid w:val="005B578D"/>
    <w:rsid w:val="005C1996"/>
    <w:rsid w:val="00623DF4"/>
    <w:rsid w:val="006B6900"/>
    <w:rsid w:val="006D473E"/>
    <w:rsid w:val="007201F8"/>
    <w:rsid w:val="00793DE6"/>
    <w:rsid w:val="007F6456"/>
    <w:rsid w:val="00830393"/>
    <w:rsid w:val="00833D5A"/>
    <w:rsid w:val="00860EE7"/>
    <w:rsid w:val="00877A81"/>
    <w:rsid w:val="008931F6"/>
    <w:rsid w:val="008C6474"/>
    <w:rsid w:val="008D333F"/>
    <w:rsid w:val="008E2339"/>
    <w:rsid w:val="008E42B0"/>
    <w:rsid w:val="0090425D"/>
    <w:rsid w:val="00916BC6"/>
    <w:rsid w:val="00935023"/>
    <w:rsid w:val="009806A5"/>
    <w:rsid w:val="009A6B3C"/>
    <w:rsid w:val="009E085C"/>
    <w:rsid w:val="009E265A"/>
    <w:rsid w:val="00A25B29"/>
    <w:rsid w:val="00A26F82"/>
    <w:rsid w:val="00A808E9"/>
    <w:rsid w:val="00B53154"/>
    <w:rsid w:val="00B72074"/>
    <w:rsid w:val="00BC2133"/>
    <w:rsid w:val="00BE34F4"/>
    <w:rsid w:val="00BE4F3A"/>
    <w:rsid w:val="00C019A6"/>
    <w:rsid w:val="00C572A2"/>
    <w:rsid w:val="00D5526B"/>
    <w:rsid w:val="00D66962"/>
    <w:rsid w:val="00D87D9C"/>
    <w:rsid w:val="00D92B3B"/>
    <w:rsid w:val="00DA7DED"/>
    <w:rsid w:val="00DF4A30"/>
    <w:rsid w:val="00E0050C"/>
    <w:rsid w:val="00E0253D"/>
    <w:rsid w:val="00E2450C"/>
    <w:rsid w:val="00E340B5"/>
    <w:rsid w:val="00E4001E"/>
    <w:rsid w:val="00E53ACA"/>
    <w:rsid w:val="00E9409E"/>
    <w:rsid w:val="00EC65E9"/>
    <w:rsid w:val="00EF0AC4"/>
    <w:rsid w:val="00F4105E"/>
    <w:rsid w:val="00F616DA"/>
    <w:rsid w:val="00F76F95"/>
    <w:rsid w:val="00FD4B8D"/>
    <w:rsid w:val="00FF55E9"/>
    <w:rsid w:val="00FF6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2" w:unhideWhenUsed="0" w:qFormat="1"/>
    <w:lsdException w:name="heading 2" w:locked="1" w:uiPriority="2" w:qFormat="1"/>
    <w:lsdException w:name="heading 3" w:locked="1" w:uiPriority="2" w:qFormat="1"/>
    <w:lsdException w:name="heading 4" w:locked="1" w:uiPriority="2" w:qFormat="1"/>
    <w:lsdException w:name="heading 5" w:locked="1" w:uiPriority="2"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locked="1" w:uiPriority="0" w:qFormat="1"/>
    <w:lsdException w:name="footer" w:locked="1" w:uiPriority="0" w:qFormat="1"/>
    <w:lsdException w:name="caption" w:uiPriority="0" w:qFormat="1"/>
    <w:lsdException w:name="footnote reference" w:uiPriority="0"/>
    <w:lsdException w:name="page number" w:uiPriority="0"/>
    <w:lsdException w:name="Title" w:semiHidden="0" w:uiPriority="10" w:unhideWhenUsed="0"/>
    <w:lsdException w:name="Signature" w:uiPriority="0"/>
    <w:lsdException w:name="Default Paragraph Font" w:uiPriority="1"/>
    <w:lsdException w:name="Body Tex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333AC0"/>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locked/>
    <w:rsid w:val="00333AC0"/>
    <w:pPr>
      <w:keepNext/>
      <w:widowControl/>
      <w:spacing w:after="240"/>
      <w:ind w:left="851" w:hanging="851"/>
      <w:outlineLvl w:val="0"/>
    </w:pPr>
    <w:rPr>
      <w:rFonts w:eastAsiaTheme="majorEastAsia" w:cstheme="majorBidi"/>
      <w:b/>
      <w:bCs/>
      <w:sz w:val="36"/>
      <w:szCs w:val="28"/>
      <w:lang w:bidi="ar-SA"/>
    </w:rPr>
  </w:style>
  <w:style w:type="paragraph" w:styleId="Heading2">
    <w:name w:val="heading 2"/>
    <w:aliases w:val="FSHeading 2,Section heading"/>
    <w:basedOn w:val="Normal"/>
    <w:next w:val="Normal"/>
    <w:link w:val="Heading2Char"/>
    <w:uiPriority w:val="2"/>
    <w:unhideWhenUsed/>
    <w:qFormat/>
    <w:locked/>
    <w:rsid w:val="00333AC0"/>
    <w:pPr>
      <w:keepNext/>
      <w:widowControl/>
      <w:spacing w:before="240" w:after="240"/>
      <w:ind w:left="851" w:hanging="851"/>
      <w:outlineLvl w:val="1"/>
    </w:pPr>
    <w:rPr>
      <w:rFonts w:eastAsiaTheme="majorEastAsia"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locked/>
    <w:rsid w:val="00333AC0"/>
    <w:pPr>
      <w:keepNext/>
      <w:widowControl/>
      <w:spacing w:before="240" w:after="240"/>
      <w:ind w:left="851" w:hanging="851"/>
      <w:outlineLvl w:val="2"/>
    </w:pPr>
    <w:rPr>
      <w:rFonts w:eastAsiaTheme="majorEastAsia" w:cstheme="majorBidi"/>
      <w:b/>
      <w:bCs/>
      <w:color w:val="000000" w:themeColor="text1"/>
      <w:lang w:eastAsia="en-AU" w:bidi="ar-SA"/>
    </w:rPr>
  </w:style>
  <w:style w:type="paragraph" w:styleId="Heading4">
    <w:name w:val="heading 4"/>
    <w:aliases w:val="FSHeading 4,Subheading 2"/>
    <w:basedOn w:val="Normal"/>
    <w:next w:val="Normal"/>
    <w:link w:val="Heading4Char"/>
    <w:uiPriority w:val="2"/>
    <w:unhideWhenUsed/>
    <w:qFormat/>
    <w:locked/>
    <w:rsid w:val="00333AC0"/>
    <w:pPr>
      <w:keepNext/>
      <w:widowControl/>
      <w:spacing w:before="240" w:after="240"/>
      <w:ind w:left="851" w:hanging="851"/>
      <w:outlineLvl w:val="3"/>
    </w:pPr>
    <w:rPr>
      <w:rFonts w:eastAsiaTheme="majorEastAsia" w:cstheme="majorBidi"/>
      <w:b/>
      <w:bCs/>
      <w:i/>
      <w:iCs/>
      <w:szCs w:val="22"/>
      <w:lang w:bidi="ar-SA"/>
    </w:rPr>
  </w:style>
  <w:style w:type="paragraph" w:styleId="Heading5">
    <w:name w:val="heading 5"/>
    <w:aliases w:val="FSHeading 5,Subheading 3"/>
    <w:basedOn w:val="Normal"/>
    <w:next w:val="Normal"/>
    <w:link w:val="Heading5Char"/>
    <w:uiPriority w:val="2"/>
    <w:unhideWhenUsed/>
    <w:qFormat/>
    <w:locked/>
    <w:rsid w:val="00333AC0"/>
    <w:pPr>
      <w:keepNext/>
      <w:widowControl/>
      <w:spacing w:before="240" w:after="240"/>
      <w:ind w:left="851" w:hanging="851"/>
      <w:outlineLvl w:val="4"/>
    </w:pPr>
    <w:rPr>
      <w:rFonts w:eastAsiaTheme="majorEastAsia" w:cstheme="majorBidi"/>
      <w:i/>
      <w:szCs w:val="22"/>
      <w:lang w:bidi="ar-SA"/>
    </w:rPr>
  </w:style>
  <w:style w:type="paragraph" w:styleId="Heading6">
    <w:name w:val="heading 6"/>
    <w:basedOn w:val="Normal"/>
    <w:next w:val="Normal"/>
    <w:link w:val="Heading6Char"/>
    <w:uiPriority w:val="9"/>
    <w:unhideWhenUsed/>
    <w:rsid w:val="00333AC0"/>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333AC0"/>
    <w:pPr>
      <w:spacing w:before="240" w:after="60"/>
      <w:outlineLvl w:val="6"/>
    </w:pPr>
  </w:style>
  <w:style w:type="paragraph" w:styleId="Heading8">
    <w:name w:val="heading 8"/>
    <w:basedOn w:val="Normal"/>
    <w:next w:val="Normal"/>
    <w:link w:val="Heading8Char"/>
    <w:uiPriority w:val="9"/>
    <w:unhideWhenUsed/>
    <w:rsid w:val="00333AC0"/>
    <w:pPr>
      <w:spacing w:before="240" w:after="60"/>
      <w:outlineLvl w:val="7"/>
    </w:pPr>
    <w:rPr>
      <w:i/>
      <w:iCs/>
    </w:rPr>
  </w:style>
  <w:style w:type="paragraph" w:styleId="Heading9">
    <w:name w:val="heading 9"/>
    <w:basedOn w:val="Normal"/>
    <w:next w:val="Normal"/>
    <w:link w:val="Heading9Char"/>
    <w:uiPriority w:val="9"/>
    <w:unhideWhenUsed/>
    <w:rsid w:val="00333AC0"/>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333AC0"/>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333AC0"/>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333AC0"/>
    <w:rPr>
      <w:rFonts w:eastAsiaTheme="majorEastAsia" w:cstheme="majorBidi"/>
      <w:b/>
      <w:bCs/>
      <w:color w:val="000000" w:themeColor="text1"/>
      <w:szCs w:val="24"/>
      <w:lang w:val="en-GB" w:eastAsia="en-AU"/>
    </w:rPr>
  </w:style>
  <w:style w:type="character" w:customStyle="1" w:styleId="Heading4Char">
    <w:name w:val="Heading 4 Char"/>
    <w:aliases w:val="FSHeading 4 Char,Subheading 2 Char"/>
    <w:basedOn w:val="DefaultParagraphFont"/>
    <w:link w:val="Heading4"/>
    <w:uiPriority w:val="2"/>
    <w:rsid w:val="00333AC0"/>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333AC0"/>
    <w:rPr>
      <w:rFonts w:eastAsiaTheme="majorEastAsia" w:cstheme="majorBidi"/>
      <w:i/>
      <w:lang w:val="en-GB"/>
    </w:rPr>
  </w:style>
  <w:style w:type="character" w:customStyle="1" w:styleId="Heading6Char">
    <w:name w:val="Heading 6 Char"/>
    <w:basedOn w:val="DefaultParagraphFont"/>
    <w:link w:val="Heading6"/>
    <w:uiPriority w:val="9"/>
    <w:rsid w:val="00333AC0"/>
    <w:rPr>
      <w:rFonts w:eastAsia="Times New Roman" w:cs="Arial Unicode MS"/>
      <w:b/>
      <w:bCs/>
      <w:lang w:val="en-GB" w:bidi="en-US"/>
    </w:rPr>
  </w:style>
  <w:style w:type="paragraph" w:customStyle="1" w:styleId="Table2">
    <w:name w:val="Table 2"/>
    <w:basedOn w:val="Normal"/>
    <w:uiPriority w:val="20"/>
    <w:qFormat/>
    <w:rsid w:val="00404702"/>
    <w:pPr>
      <w:ind w:left="142" w:hanging="142"/>
    </w:pPr>
    <w:rPr>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hAnsi="Arial"/>
      <w:b w:val="0"/>
      <w:iCs w:val="0"/>
      <w:szCs w:val="20"/>
    </w:rPr>
  </w:style>
  <w:style w:type="paragraph" w:customStyle="1" w:styleId="142Tabletext1">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C019A6"/>
    <w:pPr>
      <w:tabs>
        <w:tab w:val="left" w:pos="851"/>
      </w:tabs>
    </w:pPr>
    <w:rPr>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rsid w:val="00333AC0"/>
    <w:pPr>
      <w:tabs>
        <w:tab w:val="left" w:pos="851"/>
      </w:tabs>
    </w:pPr>
    <w:rPr>
      <w:b/>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locked/>
    <w:rsid w:val="00333AC0"/>
    <w:pPr>
      <w:tabs>
        <w:tab w:val="center" w:pos="4153"/>
        <w:tab w:val="right" w:pos="8306"/>
      </w:tabs>
    </w:pPr>
    <w:rPr>
      <w:sz w:val="20"/>
    </w:rPr>
  </w:style>
  <w:style w:type="character" w:customStyle="1" w:styleId="FooterChar">
    <w:name w:val="Footer Char"/>
    <w:aliases w:val="FSFooter Char"/>
    <w:basedOn w:val="DefaultParagraphFont"/>
    <w:link w:val="Footer"/>
    <w:rsid w:val="00E2450C"/>
    <w:rPr>
      <w:rFonts w:eastAsia="Times New Roman" w:cs="Times New Roman"/>
      <w:sz w:val="20"/>
      <w:szCs w:val="24"/>
      <w:lang w:val="en-GB" w:bidi="en-US"/>
    </w:rPr>
  </w:style>
  <w:style w:type="paragraph" w:styleId="FootnoteText">
    <w:name w:val="footnote text"/>
    <w:aliases w:val="Footnotes Text,FSFootnotes Text,FSFootnote Text"/>
    <w:basedOn w:val="Normal"/>
    <w:link w:val="FootnoteTextChar"/>
    <w:qFormat/>
    <w:rsid w:val="00333AC0"/>
    <w:rPr>
      <w:sz w:val="20"/>
      <w:szCs w:val="20"/>
    </w:rPr>
  </w:style>
  <w:style w:type="character" w:customStyle="1" w:styleId="FootnoteTextChar">
    <w:name w:val="Footnote Text Char"/>
    <w:aliases w:val="Footnotes Text Char,FSFootnotes Text Char,FSFootnote Text Char"/>
    <w:basedOn w:val="DefaultParagraphFont"/>
    <w:link w:val="FootnoteText"/>
    <w:rsid w:val="00333AC0"/>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locked/>
    <w:rsid w:val="00333AC0"/>
    <w:pPr>
      <w:widowControl/>
      <w:numPr>
        <w:numId w:val="1"/>
      </w:numPr>
      <w:ind w:left="567" w:hanging="567"/>
    </w:pPr>
    <w:rPr>
      <w:rFonts w:cs="Arial"/>
      <w:lang w:bidi="ar-SA"/>
    </w:rPr>
  </w:style>
  <w:style w:type="character" w:customStyle="1" w:styleId="FSBullet1Char">
    <w:name w:val="FSBullet 1 Char"/>
    <w:link w:val="FSBullet1"/>
    <w:uiPriority w:val="6"/>
    <w:rsid w:val="00333AC0"/>
    <w:rPr>
      <w:rFonts w:eastAsia="Times New Roman"/>
      <w:szCs w:val="24"/>
      <w:lang w:val="en-GB"/>
    </w:rPr>
  </w:style>
  <w:style w:type="paragraph" w:customStyle="1" w:styleId="FSBullet2">
    <w:name w:val="FSBullet 2"/>
    <w:basedOn w:val="Normal"/>
    <w:qFormat/>
    <w:locked/>
    <w:rsid w:val="00333AC0"/>
    <w:pPr>
      <w:widowControl/>
      <w:numPr>
        <w:numId w:val="2"/>
      </w:numPr>
      <w:ind w:left="1134" w:hanging="567"/>
    </w:pPr>
    <w:rPr>
      <w:rFonts w:eastAsia="Calibri"/>
      <w:szCs w:val="22"/>
      <w:lang w:bidi="ar-SA"/>
    </w:rPr>
  </w:style>
  <w:style w:type="paragraph" w:customStyle="1" w:styleId="FSBullet3">
    <w:name w:val="FSBullet 3"/>
    <w:basedOn w:val="Normal"/>
    <w:qFormat/>
    <w:locked/>
    <w:rsid w:val="00333AC0"/>
    <w:pPr>
      <w:keepNext/>
      <w:widowControl/>
      <w:numPr>
        <w:numId w:val="3"/>
      </w:numPr>
      <w:ind w:left="1701" w:hanging="567"/>
    </w:pPr>
    <w:rPr>
      <w:rFonts w:eastAsia="Calibri"/>
      <w:b/>
      <w:szCs w:val="22"/>
      <w:lang w:bidi="ar-SA"/>
    </w:rPr>
  </w:style>
  <w:style w:type="paragraph" w:customStyle="1" w:styleId="FSCaption">
    <w:name w:val="FSCaption"/>
    <w:basedOn w:val="Normal"/>
    <w:uiPriority w:val="9"/>
    <w:qFormat/>
    <w:locked/>
    <w:rsid w:val="00404702"/>
    <w:pPr>
      <w:keepNext/>
      <w:keepLines/>
      <w:spacing w:before="120"/>
    </w:pPr>
    <w:rPr>
      <w:i/>
      <w:sz w:val="16"/>
      <w:szCs w:val="16"/>
    </w:rPr>
  </w:style>
  <w:style w:type="paragraph" w:customStyle="1" w:styleId="FSCFootnote">
    <w:name w:val="FSCFootnote"/>
    <w:basedOn w:val="Normal"/>
    <w:next w:val="Normal"/>
    <w:uiPriority w:val="17"/>
    <w:qFormat/>
    <w:locked/>
    <w:rsid w:val="00404702"/>
    <w:rPr>
      <w:sz w:val="16"/>
      <w:szCs w:val="20"/>
    </w:rPr>
  </w:style>
  <w:style w:type="paragraph" w:customStyle="1" w:styleId="FSCFooter">
    <w:name w:val="FSCFooter"/>
    <w:basedOn w:val="FSCFootnote"/>
    <w:uiPriority w:val="17"/>
    <w:qFormat/>
    <w:locked/>
    <w:rsid w:val="00404702"/>
    <w:pPr>
      <w:tabs>
        <w:tab w:val="center" w:pos="4536"/>
        <w:tab w:val="right" w:pos="9070"/>
      </w:tabs>
    </w:pPr>
    <w:rPr>
      <w:sz w:val="18"/>
      <w:szCs w:val="18"/>
    </w:rPr>
  </w:style>
  <w:style w:type="paragraph" w:customStyle="1" w:styleId="FSPagenumber">
    <w:name w:val="FSPage number"/>
    <w:basedOn w:val="Normal"/>
    <w:uiPriority w:val="1"/>
    <w:qFormat/>
    <w:locked/>
    <w:rsid w:val="00404702"/>
    <w:pPr>
      <w:jc w:val="center"/>
    </w:pPr>
    <w:rPr>
      <w:sz w:val="20"/>
      <w:szCs w:val="20"/>
    </w:rPr>
  </w:style>
  <w:style w:type="paragraph" w:customStyle="1" w:styleId="FSTableColumnRowheading">
    <w:name w:val="FSTable Column/Row heading"/>
    <w:basedOn w:val="Normal"/>
    <w:uiPriority w:val="8"/>
    <w:qFormat/>
    <w:locked/>
    <w:rsid w:val="00404702"/>
    <w:pPr>
      <w:spacing w:before="120" w:after="120"/>
    </w:pPr>
    <w:rPr>
      <w:b/>
      <w:sz w:val="20"/>
      <w:szCs w:val="20"/>
    </w:rPr>
  </w:style>
  <w:style w:type="paragraph" w:customStyle="1" w:styleId="FSTableFigureHeading">
    <w:name w:val="FSTable/Figure Heading"/>
    <w:basedOn w:val="Normal"/>
    <w:uiPriority w:val="7"/>
    <w:qFormat/>
    <w:locked/>
    <w:rsid w:val="00404702"/>
    <w:pPr>
      <w:spacing w:before="120" w:after="120"/>
      <w:ind w:left="1134" w:hanging="1134"/>
    </w:pPr>
    <w:rPr>
      <w:b/>
      <w:i/>
    </w:rPr>
  </w:style>
  <w:style w:type="paragraph" w:styleId="Header">
    <w:name w:val="header"/>
    <w:aliases w:val="FSHeader,header protocols"/>
    <w:basedOn w:val="Normal"/>
    <w:link w:val="HeaderChar"/>
    <w:locked/>
    <w:rsid w:val="00333AC0"/>
  </w:style>
  <w:style w:type="character" w:customStyle="1" w:styleId="HeaderChar">
    <w:name w:val="Header Char"/>
    <w:aliases w:val="FSHeader Char,header protocols Char"/>
    <w:basedOn w:val="DefaultParagraphFont"/>
    <w:link w:val="Header"/>
    <w:rsid w:val="00333AC0"/>
    <w:rPr>
      <w:rFonts w:eastAsia="Times New Roman" w:cs="Times New Roman"/>
      <w:szCs w:val="24"/>
      <w:lang w:val="en-GB" w:bidi="en-US"/>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b/>
      <w:caps/>
      <w:sz w:val="20"/>
      <w:szCs w:val="20"/>
    </w:rPr>
  </w:style>
  <w:style w:type="paragraph" w:customStyle="1" w:styleId="Standardtitle">
    <w:name w:val="Standard title"/>
    <w:basedOn w:val="Normal"/>
    <w:uiPriority w:val="18"/>
    <w:qFormat/>
    <w:rsid w:val="00404702"/>
    <w:pPr>
      <w:keepNext/>
      <w:tabs>
        <w:tab w:val="left" w:pos="851"/>
      </w:tabs>
      <w:jc w:val="center"/>
    </w:pPr>
    <w:rPr>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333AC0"/>
    <w:pPr>
      <w:ind w:left="720"/>
      <w:contextualSpacing/>
    </w:pPr>
  </w:style>
  <w:style w:type="character" w:customStyle="1" w:styleId="Heading7Char">
    <w:name w:val="Heading 7 Char"/>
    <w:basedOn w:val="DefaultParagraphFont"/>
    <w:link w:val="Heading7"/>
    <w:uiPriority w:val="9"/>
    <w:rsid w:val="00333AC0"/>
    <w:rPr>
      <w:rFonts w:eastAsia="Times New Roman" w:cs="Times New Roman"/>
      <w:szCs w:val="24"/>
      <w:lang w:val="en-GB" w:bidi="en-US"/>
    </w:rPr>
  </w:style>
  <w:style w:type="character" w:customStyle="1" w:styleId="Heading8Char">
    <w:name w:val="Heading 8 Char"/>
    <w:basedOn w:val="DefaultParagraphFont"/>
    <w:link w:val="Heading8"/>
    <w:uiPriority w:val="9"/>
    <w:rsid w:val="00333AC0"/>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333AC0"/>
    <w:rPr>
      <w:rFonts w:ascii="Cambria" w:eastAsia="Times New Roman" w:hAnsi="Cambria" w:cs="Times New Roman"/>
      <w:lang w:val="en-GB" w:bidi="en-US"/>
    </w:rPr>
  </w:style>
  <w:style w:type="character" w:styleId="Hyperlink">
    <w:name w:val="Hyperlink"/>
    <w:basedOn w:val="DefaultParagraphFont"/>
    <w:uiPriority w:val="99"/>
    <w:rsid w:val="00333AC0"/>
    <w:rPr>
      <w:rFonts w:ascii="Arial" w:hAnsi="Arial"/>
      <w:color w:val="3333FF"/>
      <w:u w:val="single"/>
    </w:rPr>
  </w:style>
  <w:style w:type="paragraph" w:customStyle="1" w:styleId="FSTitle">
    <w:name w:val="FS Title"/>
    <w:basedOn w:val="Normal"/>
    <w:qFormat/>
    <w:rsid w:val="00333AC0"/>
    <w:rPr>
      <w:rFonts w:cs="Tahoma"/>
      <w:bCs/>
      <w:sz w:val="32"/>
    </w:rPr>
  </w:style>
  <w:style w:type="paragraph" w:customStyle="1" w:styleId="FSCbaseheading">
    <w:name w:val="FSC_base_heading"/>
    <w:rsid w:val="00333AC0"/>
    <w:pPr>
      <w:keepNext/>
      <w:keepLines/>
      <w:spacing w:before="360"/>
      <w:ind w:left="2835" w:hanging="2835"/>
    </w:pPr>
    <w:rPr>
      <w:rFonts w:eastAsia="Times New Roman"/>
      <w:b/>
      <w:bCs/>
      <w:kern w:val="32"/>
      <w:sz w:val="24"/>
      <w:szCs w:val="32"/>
      <w:lang w:val="en-GB" w:eastAsia="en-AU"/>
    </w:rPr>
  </w:style>
  <w:style w:type="paragraph" w:styleId="TOC1">
    <w:name w:val="toc 1"/>
    <w:basedOn w:val="Normal"/>
    <w:next w:val="Normal"/>
    <w:autoRedefine/>
    <w:uiPriority w:val="39"/>
    <w:qFormat/>
    <w:rsid w:val="00333AC0"/>
    <w:pPr>
      <w:tabs>
        <w:tab w:val="right" w:leader="dot" w:pos="9060"/>
      </w:tabs>
      <w:spacing w:before="120" w:after="120"/>
    </w:pPr>
    <w:rPr>
      <w:rFonts w:cstheme="minorHAnsi"/>
      <w:b/>
      <w:bCs/>
      <w:caps/>
      <w:szCs w:val="20"/>
    </w:rPr>
  </w:style>
  <w:style w:type="paragraph" w:styleId="TOC2">
    <w:name w:val="toc 2"/>
    <w:basedOn w:val="Normal"/>
    <w:next w:val="Normal"/>
    <w:autoRedefine/>
    <w:uiPriority w:val="39"/>
    <w:qFormat/>
    <w:rsid w:val="00333AC0"/>
    <w:pPr>
      <w:spacing w:before="120" w:after="120"/>
      <w:ind w:left="221"/>
    </w:pPr>
    <w:rPr>
      <w:rFonts w:cstheme="minorHAnsi"/>
      <w:smallCaps/>
      <w:szCs w:val="20"/>
    </w:rPr>
  </w:style>
  <w:style w:type="character" w:styleId="PageNumber">
    <w:name w:val="page number"/>
    <w:basedOn w:val="DefaultParagraphFont"/>
    <w:rsid w:val="00333AC0"/>
    <w:rPr>
      <w:rFonts w:ascii="Arial" w:hAnsi="Arial"/>
    </w:rPr>
  </w:style>
  <w:style w:type="paragraph" w:styleId="TOC3">
    <w:name w:val="toc 3"/>
    <w:basedOn w:val="Normal"/>
    <w:next w:val="Normal"/>
    <w:autoRedefine/>
    <w:uiPriority w:val="39"/>
    <w:qFormat/>
    <w:rsid w:val="00333AC0"/>
    <w:pPr>
      <w:ind w:left="440"/>
    </w:pPr>
    <w:rPr>
      <w:rFonts w:asciiTheme="minorHAnsi" w:hAnsiTheme="minorHAnsi" w:cstheme="minorHAnsi"/>
      <w:i/>
      <w:iCs/>
      <w:sz w:val="20"/>
      <w:szCs w:val="20"/>
    </w:rPr>
  </w:style>
  <w:style w:type="paragraph" w:styleId="TOC4">
    <w:name w:val="toc 4"/>
    <w:basedOn w:val="Normal"/>
    <w:next w:val="Normal"/>
    <w:autoRedefine/>
    <w:semiHidden/>
    <w:rsid w:val="00333AC0"/>
    <w:pPr>
      <w:ind w:left="660"/>
    </w:pPr>
    <w:rPr>
      <w:rFonts w:asciiTheme="minorHAnsi" w:hAnsiTheme="minorHAnsi" w:cstheme="minorHAnsi"/>
      <w:sz w:val="18"/>
      <w:szCs w:val="18"/>
    </w:rPr>
  </w:style>
  <w:style w:type="paragraph" w:styleId="TOC5">
    <w:name w:val="toc 5"/>
    <w:basedOn w:val="Normal"/>
    <w:next w:val="Normal"/>
    <w:autoRedefine/>
    <w:semiHidden/>
    <w:rsid w:val="00333AC0"/>
    <w:pPr>
      <w:ind w:left="880"/>
    </w:pPr>
    <w:rPr>
      <w:rFonts w:asciiTheme="minorHAnsi" w:hAnsiTheme="minorHAnsi" w:cstheme="minorHAnsi"/>
      <w:sz w:val="18"/>
      <w:szCs w:val="18"/>
    </w:rPr>
  </w:style>
  <w:style w:type="character" w:styleId="FollowedHyperlink">
    <w:name w:val="FollowedHyperlink"/>
    <w:basedOn w:val="DefaultParagraphFont"/>
    <w:rsid w:val="00333AC0"/>
    <w:rPr>
      <w:rFonts w:ascii="Arial" w:hAnsi="Arial"/>
      <w:color w:val="3333FF"/>
      <w:sz w:val="22"/>
      <w:u w:val="single"/>
    </w:rPr>
  </w:style>
  <w:style w:type="paragraph" w:styleId="TOC6">
    <w:name w:val="toc 6"/>
    <w:basedOn w:val="Normal"/>
    <w:next w:val="Normal"/>
    <w:autoRedefine/>
    <w:semiHidden/>
    <w:rsid w:val="00333AC0"/>
    <w:pPr>
      <w:ind w:left="1100"/>
    </w:pPr>
    <w:rPr>
      <w:rFonts w:asciiTheme="minorHAnsi" w:hAnsiTheme="minorHAnsi" w:cstheme="minorHAnsi"/>
      <w:sz w:val="18"/>
      <w:szCs w:val="18"/>
    </w:rPr>
  </w:style>
  <w:style w:type="paragraph" w:customStyle="1" w:styleId="FSCbasepara">
    <w:name w:val="FSC_base_para"/>
    <w:rsid w:val="00333AC0"/>
    <w:pPr>
      <w:keepLines/>
      <w:spacing w:before="120"/>
      <w:ind w:left="1701" w:hanging="1701"/>
    </w:pPr>
    <w:rPr>
      <w:rFonts w:eastAsia="Times New Roman"/>
      <w:iCs/>
      <w:sz w:val="20"/>
      <w:lang w:val="en-GB" w:eastAsia="en-AU"/>
    </w:rPr>
  </w:style>
  <w:style w:type="paragraph" w:customStyle="1" w:styleId="FSCbasetbl">
    <w:name w:val="FSC_base_tbl"/>
    <w:basedOn w:val="FSCbasepara"/>
    <w:rsid w:val="00333AC0"/>
    <w:pPr>
      <w:spacing w:before="60" w:after="60"/>
      <w:ind w:left="0" w:firstLine="0"/>
    </w:pPr>
    <w:rPr>
      <w:sz w:val="18"/>
    </w:rPr>
  </w:style>
  <w:style w:type="paragraph" w:customStyle="1" w:styleId="FSCbaseTOC">
    <w:name w:val="FSC_base_TOC"/>
    <w:rsid w:val="00333AC0"/>
    <w:pPr>
      <w:tabs>
        <w:tab w:val="right" w:pos="8278"/>
      </w:tabs>
      <w:ind w:left="2126" w:hanging="2126"/>
    </w:pPr>
    <w:rPr>
      <w:rFonts w:eastAsia="Times New Roman"/>
      <w:noProof/>
      <w:sz w:val="20"/>
      <w:lang w:val="en-GB" w:eastAsia="en-AU"/>
    </w:rPr>
  </w:style>
  <w:style w:type="paragraph" w:customStyle="1" w:styleId="FSCDraftingitem">
    <w:name w:val="FSC_Drafting_item"/>
    <w:basedOn w:val="Normal"/>
    <w:qFormat/>
    <w:rsid w:val="00333AC0"/>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333AC0"/>
    <w:pPr>
      <w:spacing w:before="120" w:after="120"/>
      <w:ind w:left="851" w:hanging="851"/>
    </w:pPr>
    <w:rPr>
      <w:b/>
      <w:sz w:val="20"/>
      <w:szCs w:val="20"/>
      <w:lang w:bidi="ar-SA"/>
    </w:rPr>
  </w:style>
  <w:style w:type="paragraph" w:customStyle="1" w:styleId="FSCfooter0">
    <w:name w:val="FSC_footer"/>
    <w:basedOn w:val="Normal"/>
    <w:rsid w:val="00333AC0"/>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333AC0"/>
  </w:style>
  <w:style w:type="paragraph" w:customStyle="1" w:styleId="FSCh2Part">
    <w:name w:val="FSC_h2_Part"/>
    <w:basedOn w:val="FSCbaseheading"/>
    <w:next w:val="Normal"/>
    <w:qFormat/>
    <w:rsid w:val="00333AC0"/>
  </w:style>
  <w:style w:type="paragraph" w:customStyle="1" w:styleId="FSCh3Standard">
    <w:name w:val="FSC_h3_Standard"/>
    <w:basedOn w:val="FSCbaseheading"/>
    <w:next w:val="Normal"/>
    <w:qFormat/>
    <w:rsid w:val="00333AC0"/>
  </w:style>
  <w:style w:type="paragraph" w:customStyle="1" w:styleId="FSCh3Contents">
    <w:name w:val="FSC_h3_Contents"/>
    <w:basedOn w:val="FSCh3Standard"/>
    <w:rsid w:val="00333AC0"/>
    <w:pPr>
      <w:spacing w:before="0" w:after="240"/>
      <w:ind w:left="0" w:firstLine="0"/>
      <w:jc w:val="center"/>
      <w:outlineLvl w:val="2"/>
    </w:pPr>
    <w:rPr>
      <w:sz w:val="32"/>
    </w:rPr>
  </w:style>
  <w:style w:type="paragraph" w:customStyle="1" w:styleId="FSCh4Div">
    <w:name w:val="FSC_h4_Div"/>
    <w:basedOn w:val="FSCbaseheading"/>
    <w:next w:val="Normal"/>
    <w:qFormat/>
    <w:rsid w:val="00333AC0"/>
  </w:style>
  <w:style w:type="paragraph" w:customStyle="1" w:styleId="FSCh5SchItem">
    <w:name w:val="FSC_h5_Sch_Item"/>
    <w:basedOn w:val="Normal"/>
    <w:next w:val="Normal"/>
    <w:qFormat/>
    <w:rsid w:val="00333AC0"/>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333AC0"/>
  </w:style>
  <w:style w:type="paragraph" w:customStyle="1" w:styleId="FSCh6Subsec">
    <w:name w:val="FSC_h6_Subsec"/>
    <w:basedOn w:val="FSCbaseheading"/>
    <w:next w:val="Normal"/>
    <w:qFormat/>
    <w:rsid w:val="00333AC0"/>
  </w:style>
  <w:style w:type="paragraph" w:customStyle="1" w:styleId="Footnote">
    <w:name w:val="Footnote"/>
    <w:basedOn w:val="Normal"/>
    <w:rsid w:val="00333AC0"/>
    <w:pPr>
      <w:tabs>
        <w:tab w:val="left" w:pos="851"/>
      </w:tabs>
    </w:pPr>
    <w:rPr>
      <w:sz w:val="20"/>
      <w:szCs w:val="20"/>
    </w:rPr>
  </w:style>
  <w:style w:type="paragraph" w:styleId="TOC7">
    <w:name w:val="toc 7"/>
    <w:basedOn w:val="Normal"/>
    <w:next w:val="Normal"/>
    <w:autoRedefine/>
    <w:semiHidden/>
    <w:rsid w:val="00333AC0"/>
    <w:pPr>
      <w:ind w:left="1320"/>
    </w:pPr>
    <w:rPr>
      <w:rFonts w:asciiTheme="minorHAnsi" w:hAnsiTheme="minorHAnsi" w:cstheme="minorHAnsi"/>
      <w:sz w:val="18"/>
      <w:szCs w:val="18"/>
    </w:rPr>
  </w:style>
  <w:style w:type="paragraph" w:styleId="TOC8">
    <w:name w:val="toc 8"/>
    <w:basedOn w:val="Normal"/>
    <w:next w:val="Normal"/>
    <w:autoRedefine/>
    <w:semiHidden/>
    <w:rsid w:val="00333AC0"/>
    <w:pPr>
      <w:ind w:left="1540"/>
    </w:pPr>
    <w:rPr>
      <w:rFonts w:asciiTheme="minorHAnsi" w:hAnsiTheme="minorHAnsi" w:cstheme="minorHAnsi"/>
      <w:sz w:val="18"/>
      <w:szCs w:val="18"/>
    </w:rPr>
  </w:style>
  <w:style w:type="paragraph" w:styleId="TOC9">
    <w:name w:val="toc 9"/>
    <w:basedOn w:val="Normal"/>
    <w:next w:val="Normal"/>
    <w:autoRedefine/>
    <w:semiHidden/>
    <w:rsid w:val="00333AC0"/>
    <w:pPr>
      <w:ind w:left="1760"/>
    </w:pPr>
    <w:rPr>
      <w:rFonts w:asciiTheme="minorHAnsi" w:hAnsiTheme="minorHAnsi" w:cstheme="minorHAnsi"/>
      <w:sz w:val="18"/>
      <w:szCs w:val="18"/>
    </w:rPr>
  </w:style>
  <w:style w:type="character" w:styleId="FootnoteReference">
    <w:name w:val="footnote reference"/>
    <w:basedOn w:val="DefaultParagraphFont"/>
    <w:rsid w:val="00333AC0"/>
    <w:rPr>
      <w:vertAlign w:val="superscript"/>
    </w:rPr>
  </w:style>
  <w:style w:type="paragraph" w:styleId="BalloonText">
    <w:name w:val="Balloon Text"/>
    <w:basedOn w:val="Normal"/>
    <w:link w:val="BalloonTextChar"/>
    <w:semiHidden/>
    <w:rsid w:val="00333AC0"/>
    <w:rPr>
      <w:rFonts w:ascii="Tahoma" w:hAnsi="Tahoma" w:cs="Tahoma"/>
      <w:sz w:val="16"/>
      <w:szCs w:val="16"/>
    </w:rPr>
  </w:style>
  <w:style w:type="character" w:customStyle="1" w:styleId="BalloonTextChar">
    <w:name w:val="Balloon Text Char"/>
    <w:basedOn w:val="DefaultParagraphFont"/>
    <w:link w:val="BalloonText"/>
    <w:semiHidden/>
    <w:rsid w:val="00333AC0"/>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333AC0"/>
    <w:pPr>
      <w:jc w:val="center"/>
      <w:outlineLvl w:val="9"/>
    </w:pPr>
  </w:style>
  <w:style w:type="paragraph" w:customStyle="1" w:styleId="FSCtMain">
    <w:name w:val="FSC_t_Main"/>
    <w:basedOn w:val="FSCbasepara"/>
    <w:rsid w:val="00333AC0"/>
    <w:pPr>
      <w:keepLines w:val="0"/>
      <w:widowControl w:val="0"/>
      <w:tabs>
        <w:tab w:val="left" w:pos="1134"/>
      </w:tabs>
      <w:spacing w:after="120"/>
    </w:pPr>
  </w:style>
  <w:style w:type="paragraph" w:customStyle="1" w:styleId="FSCnatHeading">
    <w:name w:val="FSC_n_at_Heading"/>
    <w:basedOn w:val="FSCtMain"/>
    <w:qFormat/>
    <w:rsid w:val="00333AC0"/>
    <w:pPr>
      <w:ind w:left="851" w:hanging="851"/>
    </w:pPr>
    <w:rPr>
      <w:sz w:val="16"/>
    </w:rPr>
  </w:style>
  <w:style w:type="table" w:styleId="TableGrid">
    <w:name w:val="Table Grid"/>
    <w:basedOn w:val="TableNormal"/>
    <w:rsid w:val="00333AC0"/>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333AC0"/>
    <w:rPr>
      <w:rFonts w:cs="Arial"/>
      <w:b/>
    </w:rPr>
  </w:style>
  <w:style w:type="paragraph" w:customStyle="1" w:styleId="FSTableHeading">
    <w:name w:val="FS Table Heading"/>
    <w:basedOn w:val="Normal"/>
    <w:qFormat/>
    <w:rsid w:val="00333AC0"/>
    <w:pPr>
      <w:jc w:val="center"/>
    </w:pPr>
    <w:rPr>
      <w:rFonts w:ascii="Arial Bold" w:hAnsi="Arial Bold" w:cs="Arial"/>
      <w:b/>
      <w:sz w:val="20"/>
      <w:szCs w:val="20"/>
    </w:rPr>
  </w:style>
  <w:style w:type="paragraph" w:customStyle="1" w:styleId="FSTableText">
    <w:name w:val="FS Table Text"/>
    <w:basedOn w:val="Normal"/>
    <w:qFormat/>
    <w:rsid w:val="00333AC0"/>
    <w:rPr>
      <w:rFonts w:cs="Arial"/>
      <w:sz w:val="20"/>
      <w:szCs w:val="20"/>
    </w:rPr>
  </w:style>
  <w:style w:type="paragraph" w:customStyle="1" w:styleId="FSFigureTitle">
    <w:name w:val="FS Figure Title"/>
    <w:basedOn w:val="Normal"/>
    <w:next w:val="Normal"/>
    <w:qFormat/>
    <w:rsid w:val="00333AC0"/>
    <w:rPr>
      <w:rFonts w:cs="Arial"/>
      <w:i/>
    </w:rPr>
  </w:style>
  <w:style w:type="character" w:styleId="CommentReference">
    <w:name w:val="annotation reference"/>
    <w:basedOn w:val="DefaultParagraphFont"/>
    <w:uiPriority w:val="99"/>
    <w:rsid w:val="00333AC0"/>
    <w:rPr>
      <w:sz w:val="16"/>
      <w:szCs w:val="16"/>
    </w:rPr>
  </w:style>
  <w:style w:type="paragraph" w:customStyle="1" w:styleId="FSCtPara">
    <w:name w:val="FSC_t_Para"/>
    <w:basedOn w:val="FSCtMain"/>
    <w:qFormat/>
    <w:rsid w:val="00333AC0"/>
    <w:pPr>
      <w:tabs>
        <w:tab w:val="clear" w:pos="1134"/>
        <w:tab w:val="left" w:pos="1701"/>
      </w:tabs>
      <w:spacing w:before="60" w:after="60"/>
      <w:ind w:left="2268" w:hanging="2268"/>
    </w:pPr>
  </w:style>
  <w:style w:type="paragraph" w:customStyle="1" w:styleId="FSCnMain">
    <w:name w:val="FSC_n_Main"/>
    <w:basedOn w:val="FSCtPara"/>
    <w:qFormat/>
    <w:rsid w:val="00333AC0"/>
    <w:rPr>
      <w:iCs w:val="0"/>
      <w:sz w:val="16"/>
      <w:szCs w:val="18"/>
    </w:rPr>
  </w:style>
  <w:style w:type="paragraph" w:customStyle="1" w:styleId="FSCtSubpara">
    <w:name w:val="FSC_t_Subpara"/>
    <w:basedOn w:val="FSCtMain"/>
    <w:qFormat/>
    <w:rsid w:val="00333AC0"/>
    <w:pPr>
      <w:tabs>
        <w:tab w:val="clear" w:pos="1134"/>
        <w:tab w:val="left" w:pos="2268"/>
      </w:tabs>
      <w:spacing w:before="60" w:after="60"/>
      <w:ind w:left="2835" w:hanging="2835"/>
    </w:pPr>
  </w:style>
  <w:style w:type="paragraph" w:customStyle="1" w:styleId="FSCnPara">
    <w:name w:val="FSC_n_Para"/>
    <w:basedOn w:val="FSCtSubpara"/>
    <w:qFormat/>
    <w:rsid w:val="00333AC0"/>
    <w:rPr>
      <w:sz w:val="16"/>
    </w:rPr>
  </w:style>
  <w:style w:type="paragraph" w:customStyle="1" w:styleId="FSCtSubsub">
    <w:name w:val="FSC_t_Subsub"/>
    <w:basedOn w:val="FSCtPara"/>
    <w:qFormat/>
    <w:rsid w:val="00333AC0"/>
    <w:pPr>
      <w:tabs>
        <w:tab w:val="clear" w:pos="1701"/>
        <w:tab w:val="left" w:pos="2835"/>
      </w:tabs>
      <w:ind w:left="3402" w:hanging="3402"/>
    </w:pPr>
  </w:style>
  <w:style w:type="paragraph" w:customStyle="1" w:styleId="FSCnSubpara">
    <w:name w:val="FSC_n_Subpara"/>
    <w:basedOn w:val="FSCtSubsub"/>
    <w:qFormat/>
    <w:rsid w:val="00333AC0"/>
    <w:rPr>
      <w:sz w:val="16"/>
    </w:rPr>
  </w:style>
  <w:style w:type="table" w:styleId="MediumShading1-Accent3">
    <w:name w:val="Medium Shading 1 Accent 3"/>
    <w:basedOn w:val="TableNormal"/>
    <w:uiPriority w:val="63"/>
    <w:rsid w:val="00333AC0"/>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333AC0"/>
    <w:pPr>
      <w:tabs>
        <w:tab w:val="clear" w:pos="2835"/>
        <w:tab w:val="left" w:pos="3402"/>
      </w:tabs>
      <w:ind w:left="3969" w:hanging="3969"/>
    </w:pPr>
  </w:style>
  <w:style w:type="paragraph" w:customStyle="1" w:styleId="FSCoContents">
    <w:name w:val="FSC_o_Contents"/>
    <w:basedOn w:val="FSCh2Part"/>
    <w:rsid w:val="00333AC0"/>
    <w:pPr>
      <w:spacing w:before="240" w:after="240"/>
      <w:ind w:left="0" w:firstLine="0"/>
      <w:jc w:val="center"/>
      <w:outlineLvl w:val="1"/>
    </w:pPr>
    <w:rPr>
      <w:bCs w:val="0"/>
      <w:sz w:val="36"/>
      <w:szCs w:val="22"/>
    </w:rPr>
  </w:style>
  <w:style w:type="paragraph" w:customStyle="1" w:styleId="FSCoDraftstrip">
    <w:name w:val="FSC_o_Draft_strip"/>
    <w:basedOn w:val="Normal"/>
    <w:rsid w:val="00333AC0"/>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333AC0"/>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333AC0"/>
    <w:pPr>
      <w:widowControl/>
      <w:spacing w:before="80"/>
    </w:pPr>
    <w:rPr>
      <w:color w:val="7030A0"/>
      <w:lang w:eastAsia="en-AU" w:bidi="ar-SA"/>
    </w:rPr>
  </w:style>
  <w:style w:type="paragraph" w:customStyle="1" w:styleId="FSCoFooter">
    <w:name w:val="FSC_o_Footer"/>
    <w:basedOn w:val="Normal"/>
    <w:rsid w:val="00333AC0"/>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333AC0"/>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333AC0"/>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333AC0"/>
    <w:rPr>
      <w:rFonts w:eastAsia="Times New Roman" w:cs="Times New Roman"/>
      <w:b/>
      <w:noProof/>
      <w:sz w:val="20"/>
      <w:szCs w:val="24"/>
      <w:lang w:val="en-GB" w:eastAsia="en-AU"/>
    </w:rPr>
  </w:style>
  <w:style w:type="paragraph" w:customStyle="1" w:styleId="FSCoParaMark">
    <w:name w:val="FSC_o_Para_Mark"/>
    <w:basedOn w:val="Normal"/>
    <w:next w:val="Normal"/>
    <w:qFormat/>
    <w:rsid w:val="00333AC0"/>
    <w:pPr>
      <w:widowControl/>
    </w:pPr>
    <w:rPr>
      <w:sz w:val="16"/>
      <w:lang w:eastAsia="en-AU" w:bidi="ar-SA"/>
    </w:rPr>
  </w:style>
  <w:style w:type="paragraph" w:customStyle="1" w:styleId="FSCoStandardEnd">
    <w:name w:val="FSC_o_Standard_End"/>
    <w:basedOn w:val="FSCtMain"/>
    <w:qFormat/>
    <w:rsid w:val="00333AC0"/>
    <w:pPr>
      <w:spacing w:before="240" w:after="0"/>
      <w:jc w:val="center"/>
    </w:pPr>
    <w:rPr>
      <w:iCs w:val="0"/>
    </w:rPr>
  </w:style>
  <w:style w:type="paragraph" w:customStyle="1" w:styleId="FSCoTitleofInstrument">
    <w:name w:val="FSC_o_Title_of_Instrument"/>
    <w:basedOn w:val="Normal"/>
    <w:rsid w:val="00333AC0"/>
    <w:pPr>
      <w:widowControl/>
      <w:spacing w:before="200"/>
    </w:pPr>
    <w:rPr>
      <w:b/>
      <w:sz w:val="32"/>
      <w:lang w:eastAsia="en-AU" w:bidi="ar-SA"/>
    </w:rPr>
  </w:style>
  <w:style w:type="paragraph" w:customStyle="1" w:styleId="FSCoutChap">
    <w:name w:val="FSC_out_Chap"/>
    <w:basedOn w:val="FSCh4Div"/>
    <w:qFormat/>
    <w:rsid w:val="00333AC0"/>
    <w:pPr>
      <w:keepNext w:val="0"/>
      <w:keepLines w:val="0"/>
      <w:widowControl w:val="0"/>
      <w:tabs>
        <w:tab w:val="left" w:pos="1701"/>
      </w:tabs>
      <w:spacing w:before="240" w:after="120"/>
      <w:ind w:left="3402" w:hanging="3402"/>
      <w:outlineLvl w:val="3"/>
    </w:pPr>
    <w:rPr>
      <w:rFonts w:cs="Times New Roman"/>
      <w:sz w:val="26"/>
    </w:rPr>
  </w:style>
  <w:style w:type="paragraph" w:customStyle="1" w:styleId="FSCoutPart">
    <w:name w:val="FSC_out_Part"/>
    <w:basedOn w:val="FSCh5Section"/>
    <w:qFormat/>
    <w:rsid w:val="00333AC0"/>
    <w:pPr>
      <w:keepNext w:val="0"/>
      <w:keepLines w:val="0"/>
      <w:widowControl w:val="0"/>
      <w:tabs>
        <w:tab w:val="left" w:pos="1701"/>
      </w:tabs>
      <w:spacing w:before="240" w:after="120"/>
      <w:ind w:left="3402" w:hanging="3402"/>
      <w:outlineLvl w:val="4"/>
    </w:pPr>
    <w:rPr>
      <w:rFonts w:cs="Times New Roman"/>
      <w:sz w:val="22"/>
      <w:szCs w:val="24"/>
    </w:rPr>
  </w:style>
  <w:style w:type="paragraph" w:customStyle="1" w:styleId="FSCoutStand">
    <w:name w:val="FSC_out_Stand"/>
    <w:basedOn w:val="FSCtMain"/>
    <w:qFormat/>
    <w:rsid w:val="00333AC0"/>
    <w:pPr>
      <w:tabs>
        <w:tab w:val="clear" w:pos="1134"/>
        <w:tab w:val="left" w:pos="1701"/>
      </w:tabs>
      <w:ind w:left="3402" w:hanging="3402"/>
    </w:pPr>
  </w:style>
  <w:style w:type="paragraph" w:customStyle="1" w:styleId="FSCtDefn">
    <w:name w:val="FSC_t_Defn"/>
    <w:basedOn w:val="FSCtMain"/>
    <w:rsid w:val="00333AC0"/>
    <w:pPr>
      <w:ind w:firstLine="0"/>
    </w:pPr>
  </w:style>
  <w:style w:type="paragraph" w:customStyle="1" w:styleId="FSCtblAddh1">
    <w:name w:val="FSC_tbl_Add_h1"/>
    <w:basedOn w:val="FSCh4Div"/>
    <w:rsid w:val="00333AC0"/>
    <w:pPr>
      <w:keepNext w:val="0"/>
      <w:keepLines w:val="0"/>
      <w:widowControl w:val="0"/>
      <w:spacing w:before="120" w:after="120"/>
      <w:ind w:left="1701" w:hanging="1701"/>
      <w:outlineLvl w:val="3"/>
    </w:pPr>
    <w:rPr>
      <w:rFonts w:eastAsiaTheme="minorHAnsi" w:cs="Times New Roman"/>
      <w:sz w:val="20"/>
      <w:lang w:eastAsia="en-US"/>
    </w:rPr>
  </w:style>
  <w:style w:type="paragraph" w:customStyle="1" w:styleId="FSCtblAddh2">
    <w:name w:val="FSC_tbl_Add_h2"/>
    <w:basedOn w:val="FSCtblAddh1"/>
    <w:rsid w:val="00333AC0"/>
    <w:pPr>
      <w:spacing w:before="60" w:after="60"/>
    </w:pPr>
    <w:rPr>
      <w:i/>
    </w:rPr>
  </w:style>
  <w:style w:type="paragraph" w:customStyle="1" w:styleId="FSCtblAddh3">
    <w:name w:val="FSC_tbl_Add_h3"/>
    <w:basedOn w:val="Normal"/>
    <w:rsid w:val="00333AC0"/>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333AC0"/>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333AC0"/>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333AC0"/>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333AC0"/>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333AC0"/>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333AC0"/>
    <w:pPr>
      <w:widowControl/>
      <w:ind w:left="113" w:hanging="113"/>
    </w:pPr>
    <w:rPr>
      <w:bCs/>
      <w:sz w:val="16"/>
      <w:szCs w:val="20"/>
      <w:lang w:bidi="ar-SA"/>
    </w:rPr>
  </w:style>
  <w:style w:type="paragraph" w:customStyle="1" w:styleId="FSCtblh2">
    <w:name w:val="FSC_tbl_h2"/>
    <w:basedOn w:val="Normal"/>
    <w:qFormat/>
    <w:rsid w:val="00333AC0"/>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333AC0"/>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333AC0"/>
    <w:pPr>
      <w:keepNext/>
      <w:keepLines/>
      <w:widowControl/>
      <w:spacing w:before="60" w:after="60"/>
    </w:pPr>
    <w:rPr>
      <w:rFonts w:cs="Arial"/>
      <w:i/>
      <w:sz w:val="18"/>
      <w:szCs w:val="22"/>
      <w:lang w:eastAsia="en-AU" w:bidi="ar-SA"/>
    </w:rPr>
  </w:style>
  <w:style w:type="paragraph" w:customStyle="1" w:styleId="FSCtblMain">
    <w:name w:val="FSC_tbl_Main"/>
    <w:basedOn w:val="Normal"/>
    <w:rsid w:val="00333AC0"/>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333AC0"/>
    <w:pPr>
      <w:jc w:val="center"/>
    </w:pPr>
    <w:rPr>
      <w:rFonts w:eastAsiaTheme="minorHAnsi"/>
      <w:lang w:eastAsia="en-US"/>
    </w:rPr>
  </w:style>
  <w:style w:type="paragraph" w:customStyle="1" w:styleId="FSCtblMainRH">
    <w:name w:val="FSC_tbl_Main_RH"/>
    <w:basedOn w:val="FSCtblMain"/>
    <w:qFormat/>
    <w:rsid w:val="00333AC0"/>
    <w:pPr>
      <w:jc w:val="right"/>
    </w:pPr>
    <w:rPr>
      <w:rFonts w:eastAsiaTheme="minorHAnsi"/>
      <w:lang w:eastAsia="en-US"/>
    </w:rPr>
  </w:style>
  <w:style w:type="paragraph" w:customStyle="1" w:styleId="FSCtblMRL1">
    <w:name w:val="FSC_tbl_MRL1"/>
    <w:basedOn w:val="Normal"/>
    <w:rsid w:val="00333AC0"/>
    <w:pPr>
      <w:keepLines/>
      <w:widowControl/>
      <w:spacing w:before="20" w:after="20"/>
    </w:pPr>
    <w:rPr>
      <w:rFonts w:cs="Arial"/>
      <w:sz w:val="18"/>
      <w:szCs w:val="20"/>
      <w:lang w:eastAsia="en-AU" w:bidi="ar-SA"/>
    </w:rPr>
  </w:style>
  <w:style w:type="paragraph" w:customStyle="1" w:styleId="FSCtblMRL2">
    <w:name w:val="FSC_tbl_MRL2"/>
    <w:basedOn w:val="FSCtblMRL1"/>
    <w:qFormat/>
    <w:rsid w:val="00333AC0"/>
    <w:pPr>
      <w:jc w:val="right"/>
    </w:pPr>
    <w:rPr>
      <w:rFonts w:eastAsiaTheme="minorHAnsi"/>
      <w:lang w:eastAsia="en-US"/>
    </w:rPr>
  </w:style>
  <w:style w:type="paragraph" w:customStyle="1" w:styleId="FSCtblPara">
    <w:name w:val="FSC_tbl_Para"/>
    <w:basedOn w:val="Normal"/>
    <w:rsid w:val="00333AC0"/>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333AC0"/>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sid w:val="00333AC0"/>
    <w:rPr>
      <w:sz w:val="20"/>
      <w:szCs w:val="20"/>
    </w:rPr>
  </w:style>
  <w:style w:type="character" w:customStyle="1" w:styleId="CommentTextChar">
    <w:name w:val="Comment Text Char"/>
    <w:basedOn w:val="DefaultParagraphFont"/>
    <w:link w:val="CommentText"/>
    <w:rsid w:val="00333AC0"/>
    <w:rPr>
      <w:rFonts w:eastAsia="Times New Roman" w:cs="Times New Roman"/>
      <w:sz w:val="20"/>
      <w:szCs w:val="20"/>
      <w:lang w:val="en-GB" w:bidi="en-US"/>
    </w:rPr>
  </w:style>
  <w:style w:type="paragraph" w:styleId="CommentSubject">
    <w:name w:val="annotation subject"/>
    <w:basedOn w:val="CommentText"/>
    <w:next w:val="CommentText"/>
    <w:link w:val="CommentSubjectChar"/>
    <w:rsid w:val="00333AC0"/>
    <w:rPr>
      <w:b/>
      <w:bCs/>
    </w:rPr>
  </w:style>
  <w:style w:type="character" w:customStyle="1" w:styleId="CommentSubjectChar">
    <w:name w:val="Comment Subject Char"/>
    <w:basedOn w:val="CommentTextChar"/>
    <w:link w:val="CommentSubject"/>
    <w:rsid w:val="00333AC0"/>
    <w:rPr>
      <w:rFonts w:eastAsia="Times New Roman" w:cs="Times New Roman"/>
      <w:b/>
      <w:bCs/>
      <w:sz w:val="20"/>
      <w:szCs w:val="20"/>
      <w:lang w:val="en-GB" w:bidi="en-US"/>
    </w:rPr>
  </w:style>
  <w:style w:type="paragraph" w:styleId="BodyText">
    <w:name w:val="Body Text"/>
    <w:basedOn w:val="Normal"/>
    <w:link w:val="BodyTextChar"/>
    <w:rsid w:val="00333AC0"/>
    <w:pPr>
      <w:spacing w:after="120"/>
    </w:pPr>
  </w:style>
  <w:style w:type="character" w:customStyle="1" w:styleId="BodyTextChar">
    <w:name w:val="Body Text Char"/>
    <w:basedOn w:val="DefaultParagraphFont"/>
    <w:link w:val="BodyText"/>
    <w:rsid w:val="00333AC0"/>
    <w:rPr>
      <w:rFonts w:eastAsia="Times New Roman" w:cs="Times New Roman"/>
      <w:szCs w:val="24"/>
      <w:lang w:val="en-GB" w:bidi="en-US"/>
    </w:rPr>
  </w:style>
  <w:style w:type="paragraph" w:styleId="Caption">
    <w:name w:val="caption"/>
    <w:basedOn w:val="Normal"/>
    <w:next w:val="Normal"/>
    <w:unhideWhenUsed/>
    <w:rsid w:val="00333AC0"/>
    <w:pPr>
      <w:widowControl/>
    </w:pPr>
    <w:rPr>
      <w:b/>
      <w:bCs/>
      <w:sz w:val="20"/>
      <w:szCs w:val="20"/>
      <w:lang w:val="en-AU" w:bidi="ar-SA"/>
    </w:rPr>
  </w:style>
  <w:style w:type="paragraph" w:styleId="TableofFigures">
    <w:name w:val="table of figures"/>
    <w:basedOn w:val="Normal"/>
    <w:next w:val="Normal"/>
    <w:uiPriority w:val="99"/>
    <w:rsid w:val="00333AC0"/>
  </w:style>
  <w:style w:type="character" w:styleId="Emphasis">
    <w:name w:val="Emphasis"/>
    <w:basedOn w:val="DefaultParagraphFont"/>
    <w:uiPriority w:val="20"/>
    <w:qFormat/>
    <w:rsid w:val="00333AC0"/>
    <w:rPr>
      <w:i/>
      <w:iCs/>
    </w:rPr>
  </w:style>
  <w:style w:type="paragraph" w:styleId="HTMLPreformatted">
    <w:name w:val="HTML Preformatted"/>
    <w:basedOn w:val="Normal"/>
    <w:link w:val="HTMLPreformattedChar"/>
    <w:uiPriority w:val="99"/>
    <w:unhideWhenUsed/>
    <w:rsid w:val="00333A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lang w:eastAsia="en-GB" w:bidi="ar-SA"/>
    </w:rPr>
  </w:style>
  <w:style w:type="character" w:customStyle="1" w:styleId="HTMLPreformattedChar">
    <w:name w:val="HTML Preformatted Char"/>
    <w:basedOn w:val="DefaultParagraphFont"/>
    <w:link w:val="HTMLPreformatted"/>
    <w:uiPriority w:val="99"/>
    <w:rsid w:val="00333AC0"/>
    <w:rPr>
      <w:rFonts w:ascii="Courier New" w:eastAsia="Times New Roman" w:hAnsi="Courier New" w:cs="Courier New"/>
      <w:sz w:val="24"/>
      <w:szCs w:val="24"/>
      <w:lang w:val="en-GB" w:eastAsia="en-GB"/>
    </w:rPr>
  </w:style>
  <w:style w:type="character" w:customStyle="1" w:styleId="feature">
    <w:name w:val="feature"/>
    <w:basedOn w:val="DefaultParagraphFont"/>
    <w:rsid w:val="00333AC0"/>
  </w:style>
  <w:style w:type="character" w:customStyle="1" w:styleId="st1">
    <w:name w:val="st1"/>
    <w:basedOn w:val="DefaultParagraphFont"/>
    <w:rsid w:val="00333AC0"/>
  </w:style>
  <w:style w:type="paragraph" w:customStyle="1" w:styleId="PARA">
    <w:name w:val="_PARA_"/>
    <w:basedOn w:val="Normal"/>
    <w:link w:val="PARAChar"/>
    <w:rsid w:val="00333AC0"/>
    <w:pPr>
      <w:widowControl/>
      <w:spacing w:after="360" w:line="280" w:lineRule="exact"/>
      <w:jc w:val="both"/>
    </w:pPr>
    <w:rPr>
      <w:rFonts w:ascii="Georgia" w:eastAsiaTheme="minorHAnsi" w:hAnsi="Georgia" w:cstheme="minorBidi"/>
      <w:szCs w:val="22"/>
      <w:lang w:val="en-CA" w:bidi="ar-SA"/>
    </w:rPr>
  </w:style>
  <w:style w:type="character" w:customStyle="1" w:styleId="PARAChar">
    <w:name w:val="_PARA_ Char"/>
    <w:basedOn w:val="DefaultParagraphFont"/>
    <w:link w:val="PARA"/>
    <w:rsid w:val="00333AC0"/>
    <w:rPr>
      <w:rFonts w:ascii="Georgia" w:hAnsi="Georgia" w:cstheme="minorBidi"/>
      <w:lang w:val="en-CA"/>
    </w:rPr>
  </w:style>
  <w:style w:type="character" w:styleId="PlaceholderText">
    <w:name w:val="Placeholder Text"/>
    <w:basedOn w:val="DefaultParagraphFont"/>
    <w:uiPriority w:val="99"/>
    <w:semiHidden/>
    <w:rsid w:val="00333AC0"/>
    <w:rPr>
      <w:color w:val="808080"/>
    </w:rPr>
  </w:style>
  <w:style w:type="character" w:styleId="HTMLCite">
    <w:name w:val="HTML Cite"/>
    <w:basedOn w:val="DefaultParagraphFont"/>
    <w:uiPriority w:val="99"/>
    <w:unhideWhenUsed/>
    <w:rsid w:val="00333AC0"/>
    <w:rPr>
      <w:i/>
      <w:iCs/>
    </w:rPr>
  </w:style>
  <w:style w:type="paragraph" w:styleId="Signature">
    <w:name w:val="Signature"/>
    <w:basedOn w:val="Normal"/>
    <w:link w:val="SignatureChar"/>
    <w:rsid w:val="00333AC0"/>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333AC0"/>
    <w:rPr>
      <w:rFonts w:eastAsia="Times New Roman"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2" w:unhideWhenUsed="0" w:qFormat="1"/>
    <w:lsdException w:name="heading 2" w:locked="1" w:uiPriority="2" w:qFormat="1"/>
    <w:lsdException w:name="heading 3" w:locked="1" w:uiPriority="2" w:qFormat="1"/>
    <w:lsdException w:name="heading 4" w:locked="1" w:uiPriority="2" w:qFormat="1"/>
    <w:lsdException w:name="heading 5" w:locked="1" w:uiPriority="2"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locked="1" w:uiPriority="0" w:qFormat="1"/>
    <w:lsdException w:name="footer" w:locked="1" w:uiPriority="0" w:qFormat="1"/>
    <w:lsdException w:name="caption" w:uiPriority="0" w:qFormat="1"/>
    <w:lsdException w:name="footnote reference" w:uiPriority="0"/>
    <w:lsdException w:name="page number" w:uiPriority="0"/>
    <w:lsdException w:name="Title" w:semiHidden="0" w:uiPriority="10" w:unhideWhenUsed="0"/>
    <w:lsdException w:name="Signature" w:uiPriority="0"/>
    <w:lsdException w:name="Default Paragraph Font" w:uiPriority="1"/>
    <w:lsdException w:name="Body Tex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333AC0"/>
    <w:pPr>
      <w:widowControl w:val="0"/>
    </w:pPr>
    <w:rPr>
      <w:rFonts w:eastAsia="Times New Roman" w:cs="Times New Roman"/>
      <w:szCs w:val="24"/>
      <w:lang w:val="en-GB" w:bidi="en-US"/>
    </w:rPr>
  </w:style>
  <w:style w:type="paragraph" w:styleId="Heading1">
    <w:name w:val="heading 1"/>
    <w:aliases w:val="FSHeading 1,Chapter heading"/>
    <w:basedOn w:val="Normal"/>
    <w:next w:val="Normal"/>
    <w:link w:val="Heading1Char"/>
    <w:uiPriority w:val="2"/>
    <w:qFormat/>
    <w:locked/>
    <w:rsid w:val="00333AC0"/>
    <w:pPr>
      <w:keepNext/>
      <w:widowControl/>
      <w:spacing w:after="240"/>
      <w:ind w:left="851" w:hanging="851"/>
      <w:outlineLvl w:val="0"/>
    </w:pPr>
    <w:rPr>
      <w:rFonts w:eastAsiaTheme="majorEastAsia" w:cstheme="majorBidi"/>
      <w:b/>
      <w:bCs/>
      <w:sz w:val="36"/>
      <w:szCs w:val="28"/>
      <w:lang w:bidi="ar-SA"/>
    </w:rPr>
  </w:style>
  <w:style w:type="paragraph" w:styleId="Heading2">
    <w:name w:val="heading 2"/>
    <w:aliases w:val="FSHeading 2,Section heading"/>
    <w:basedOn w:val="Normal"/>
    <w:next w:val="Normal"/>
    <w:link w:val="Heading2Char"/>
    <w:uiPriority w:val="2"/>
    <w:unhideWhenUsed/>
    <w:qFormat/>
    <w:locked/>
    <w:rsid w:val="00333AC0"/>
    <w:pPr>
      <w:keepNext/>
      <w:widowControl/>
      <w:spacing w:before="240" w:after="240"/>
      <w:ind w:left="851" w:hanging="851"/>
      <w:outlineLvl w:val="1"/>
    </w:pPr>
    <w:rPr>
      <w:rFonts w:eastAsiaTheme="majorEastAsia" w:cs="Arial"/>
      <w:b/>
      <w:bCs/>
      <w:sz w:val="28"/>
      <w:szCs w:val="22"/>
      <w:lang w:bidi="ar-SA"/>
    </w:rPr>
  </w:style>
  <w:style w:type="paragraph" w:styleId="Heading3">
    <w:name w:val="heading 3"/>
    <w:aliases w:val="FSHeading 3,Subheading 1"/>
    <w:basedOn w:val="Normal"/>
    <w:next w:val="Normal"/>
    <w:link w:val="Heading3Char"/>
    <w:autoRedefine/>
    <w:uiPriority w:val="2"/>
    <w:unhideWhenUsed/>
    <w:qFormat/>
    <w:locked/>
    <w:rsid w:val="00333AC0"/>
    <w:pPr>
      <w:keepNext/>
      <w:widowControl/>
      <w:spacing w:before="240" w:after="240"/>
      <w:ind w:left="851" w:hanging="851"/>
      <w:outlineLvl w:val="2"/>
    </w:pPr>
    <w:rPr>
      <w:rFonts w:eastAsiaTheme="majorEastAsia" w:cstheme="majorBidi"/>
      <w:b/>
      <w:bCs/>
      <w:color w:val="000000" w:themeColor="text1"/>
      <w:lang w:eastAsia="en-AU" w:bidi="ar-SA"/>
    </w:rPr>
  </w:style>
  <w:style w:type="paragraph" w:styleId="Heading4">
    <w:name w:val="heading 4"/>
    <w:aliases w:val="FSHeading 4,Subheading 2"/>
    <w:basedOn w:val="Normal"/>
    <w:next w:val="Normal"/>
    <w:link w:val="Heading4Char"/>
    <w:uiPriority w:val="2"/>
    <w:unhideWhenUsed/>
    <w:qFormat/>
    <w:locked/>
    <w:rsid w:val="00333AC0"/>
    <w:pPr>
      <w:keepNext/>
      <w:widowControl/>
      <w:spacing w:before="240" w:after="240"/>
      <w:ind w:left="851" w:hanging="851"/>
      <w:outlineLvl w:val="3"/>
    </w:pPr>
    <w:rPr>
      <w:rFonts w:eastAsiaTheme="majorEastAsia" w:cstheme="majorBidi"/>
      <w:b/>
      <w:bCs/>
      <w:i/>
      <w:iCs/>
      <w:szCs w:val="22"/>
      <w:lang w:bidi="ar-SA"/>
    </w:rPr>
  </w:style>
  <w:style w:type="paragraph" w:styleId="Heading5">
    <w:name w:val="heading 5"/>
    <w:aliases w:val="FSHeading 5,Subheading 3"/>
    <w:basedOn w:val="Normal"/>
    <w:next w:val="Normal"/>
    <w:link w:val="Heading5Char"/>
    <w:uiPriority w:val="2"/>
    <w:unhideWhenUsed/>
    <w:qFormat/>
    <w:locked/>
    <w:rsid w:val="00333AC0"/>
    <w:pPr>
      <w:keepNext/>
      <w:widowControl/>
      <w:spacing w:before="240" w:after="240"/>
      <w:ind w:left="851" w:hanging="851"/>
      <w:outlineLvl w:val="4"/>
    </w:pPr>
    <w:rPr>
      <w:rFonts w:eastAsiaTheme="majorEastAsia" w:cstheme="majorBidi"/>
      <w:i/>
      <w:szCs w:val="22"/>
      <w:lang w:bidi="ar-SA"/>
    </w:rPr>
  </w:style>
  <w:style w:type="paragraph" w:styleId="Heading6">
    <w:name w:val="heading 6"/>
    <w:basedOn w:val="Normal"/>
    <w:next w:val="Normal"/>
    <w:link w:val="Heading6Char"/>
    <w:uiPriority w:val="9"/>
    <w:unhideWhenUsed/>
    <w:rsid w:val="00333AC0"/>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333AC0"/>
    <w:pPr>
      <w:spacing w:before="240" w:after="60"/>
      <w:outlineLvl w:val="6"/>
    </w:pPr>
  </w:style>
  <w:style w:type="paragraph" w:styleId="Heading8">
    <w:name w:val="heading 8"/>
    <w:basedOn w:val="Normal"/>
    <w:next w:val="Normal"/>
    <w:link w:val="Heading8Char"/>
    <w:uiPriority w:val="9"/>
    <w:unhideWhenUsed/>
    <w:rsid w:val="00333AC0"/>
    <w:pPr>
      <w:spacing w:before="240" w:after="60"/>
      <w:outlineLvl w:val="7"/>
    </w:pPr>
    <w:rPr>
      <w:i/>
      <w:iCs/>
    </w:rPr>
  </w:style>
  <w:style w:type="paragraph" w:styleId="Heading9">
    <w:name w:val="heading 9"/>
    <w:basedOn w:val="Normal"/>
    <w:next w:val="Normal"/>
    <w:link w:val="Heading9Char"/>
    <w:uiPriority w:val="9"/>
    <w:unhideWhenUsed/>
    <w:rsid w:val="00333AC0"/>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333AC0"/>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333AC0"/>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333AC0"/>
    <w:rPr>
      <w:rFonts w:eastAsiaTheme="majorEastAsia" w:cstheme="majorBidi"/>
      <w:b/>
      <w:bCs/>
      <w:color w:val="000000" w:themeColor="text1"/>
      <w:szCs w:val="24"/>
      <w:lang w:val="en-GB" w:eastAsia="en-AU"/>
    </w:rPr>
  </w:style>
  <w:style w:type="character" w:customStyle="1" w:styleId="Heading4Char">
    <w:name w:val="Heading 4 Char"/>
    <w:aliases w:val="FSHeading 4 Char,Subheading 2 Char"/>
    <w:basedOn w:val="DefaultParagraphFont"/>
    <w:link w:val="Heading4"/>
    <w:uiPriority w:val="2"/>
    <w:rsid w:val="00333AC0"/>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333AC0"/>
    <w:rPr>
      <w:rFonts w:eastAsiaTheme="majorEastAsia" w:cstheme="majorBidi"/>
      <w:i/>
      <w:lang w:val="en-GB"/>
    </w:rPr>
  </w:style>
  <w:style w:type="character" w:customStyle="1" w:styleId="Heading6Char">
    <w:name w:val="Heading 6 Char"/>
    <w:basedOn w:val="DefaultParagraphFont"/>
    <w:link w:val="Heading6"/>
    <w:uiPriority w:val="9"/>
    <w:rsid w:val="00333AC0"/>
    <w:rPr>
      <w:rFonts w:eastAsia="Times New Roman" w:cs="Arial Unicode MS"/>
      <w:b/>
      <w:bCs/>
      <w:lang w:val="en-GB" w:bidi="en-US"/>
    </w:rPr>
  </w:style>
  <w:style w:type="paragraph" w:customStyle="1" w:styleId="Table2">
    <w:name w:val="Table 2"/>
    <w:basedOn w:val="Normal"/>
    <w:uiPriority w:val="20"/>
    <w:qFormat/>
    <w:rsid w:val="00404702"/>
    <w:pPr>
      <w:ind w:left="142" w:hanging="142"/>
    </w:pPr>
    <w:rPr>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hAnsi="Arial"/>
      <w:b w:val="0"/>
      <w:iCs w:val="0"/>
      <w:szCs w:val="20"/>
    </w:rPr>
  </w:style>
  <w:style w:type="paragraph" w:customStyle="1" w:styleId="142Tabletext1">
    <w:name w:val="1.4.2 Table text1"/>
    <w:basedOn w:val="Normal"/>
    <w:link w:val="142Tabletext1Char"/>
    <w:uiPriority w:val="22"/>
    <w:qFormat/>
    <w:rsid w:val="00404702"/>
    <w:pPr>
      <w:ind w:left="142" w:hanging="142"/>
    </w:pPr>
    <w:rPr>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caps/>
      <w:szCs w:val="20"/>
    </w:rPr>
  </w:style>
  <w:style w:type="paragraph" w:customStyle="1" w:styleId="Clause">
    <w:name w:val="Clause"/>
    <w:basedOn w:val="Normal"/>
    <w:next w:val="Normal"/>
    <w:link w:val="ClauseChar"/>
    <w:uiPriority w:val="10"/>
    <w:qFormat/>
    <w:rsid w:val="00C019A6"/>
    <w:pPr>
      <w:tabs>
        <w:tab w:val="left" w:pos="851"/>
      </w:tabs>
    </w:pPr>
    <w:rPr>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rsid w:val="00333AC0"/>
    <w:pPr>
      <w:tabs>
        <w:tab w:val="left" w:pos="851"/>
      </w:tabs>
    </w:pPr>
    <w:rPr>
      <w:b/>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locked/>
    <w:rsid w:val="00333AC0"/>
    <w:pPr>
      <w:tabs>
        <w:tab w:val="center" w:pos="4153"/>
        <w:tab w:val="right" w:pos="8306"/>
      </w:tabs>
    </w:pPr>
    <w:rPr>
      <w:sz w:val="20"/>
    </w:rPr>
  </w:style>
  <w:style w:type="character" w:customStyle="1" w:styleId="FooterChar">
    <w:name w:val="Footer Char"/>
    <w:aliases w:val="FSFooter Char"/>
    <w:basedOn w:val="DefaultParagraphFont"/>
    <w:link w:val="Footer"/>
    <w:rsid w:val="00E2450C"/>
    <w:rPr>
      <w:rFonts w:eastAsia="Times New Roman" w:cs="Times New Roman"/>
      <w:sz w:val="20"/>
      <w:szCs w:val="24"/>
      <w:lang w:val="en-GB" w:bidi="en-US"/>
    </w:rPr>
  </w:style>
  <w:style w:type="paragraph" w:styleId="FootnoteText">
    <w:name w:val="footnote text"/>
    <w:aliases w:val="Footnotes Text,FSFootnotes Text,FSFootnote Text"/>
    <w:basedOn w:val="Normal"/>
    <w:link w:val="FootnoteTextChar"/>
    <w:qFormat/>
    <w:rsid w:val="00333AC0"/>
    <w:rPr>
      <w:sz w:val="20"/>
      <w:szCs w:val="20"/>
    </w:rPr>
  </w:style>
  <w:style w:type="character" w:customStyle="1" w:styleId="FootnoteTextChar">
    <w:name w:val="Footnote Text Char"/>
    <w:aliases w:val="Footnotes Text Char,FSFootnotes Text Char,FSFootnote Text Char"/>
    <w:basedOn w:val="DefaultParagraphFont"/>
    <w:link w:val="FootnoteText"/>
    <w:rsid w:val="00333AC0"/>
    <w:rPr>
      <w:rFonts w:eastAsia="Times New Roman" w:cs="Times New Roman"/>
      <w:sz w:val="20"/>
      <w:szCs w:val="20"/>
      <w:lang w:val="en-GB" w:bidi="en-US"/>
    </w:rPr>
  </w:style>
  <w:style w:type="paragraph" w:customStyle="1" w:styleId="FSBullet1">
    <w:name w:val="FSBullet 1"/>
    <w:basedOn w:val="Normal"/>
    <w:next w:val="Normal"/>
    <w:link w:val="FSBullet1Char"/>
    <w:uiPriority w:val="6"/>
    <w:qFormat/>
    <w:locked/>
    <w:rsid w:val="00333AC0"/>
    <w:pPr>
      <w:widowControl/>
      <w:numPr>
        <w:numId w:val="1"/>
      </w:numPr>
      <w:ind w:left="567" w:hanging="567"/>
    </w:pPr>
    <w:rPr>
      <w:rFonts w:cs="Arial"/>
      <w:lang w:bidi="ar-SA"/>
    </w:rPr>
  </w:style>
  <w:style w:type="character" w:customStyle="1" w:styleId="FSBullet1Char">
    <w:name w:val="FSBullet 1 Char"/>
    <w:link w:val="FSBullet1"/>
    <w:uiPriority w:val="6"/>
    <w:rsid w:val="00333AC0"/>
    <w:rPr>
      <w:rFonts w:eastAsia="Times New Roman"/>
      <w:szCs w:val="24"/>
      <w:lang w:val="en-GB"/>
    </w:rPr>
  </w:style>
  <w:style w:type="paragraph" w:customStyle="1" w:styleId="FSBullet2">
    <w:name w:val="FSBullet 2"/>
    <w:basedOn w:val="Normal"/>
    <w:qFormat/>
    <w:locked/>
    <w:rsid w:val="00333AC0"/>
    <w:pPr>
      <w:widowControl/>
      <w:numPr>
        <w:numId w:val="2"/>
      </w:numPr>
      <w:ind w:left="1134" w:hanging="567"/>
    </w:pPr>
    <w:rPr>
      <w:rFonts w:eastAsia="Calibri"/>
      <w:szCs w:val="22"/>
      <w:lang w:bidi="ar-SA"/>
    </w:rPr>
  </w:style>
  <w:style w:type="paragraph" w:customStyle="1" w:styleId="FSBullet3">
    <w:name w:val="FSBullet 3"/>
    <w:basedOn w:val="Normal"/>
    <w:qFormat/>
    <w:locked/>
    <w:rsid w:val="00333AC0"/>
    <w:pPr>
      <w:keepNext/>
      <w:widowControl/>
      <w:numPr>
        <w:numId w:val="3"/>
      </w:numPr>
      <w:ind w:left="1701" w:hanging="567"/>
    </w:pPr>
    <w:rPr>
      <w:rFonts w:eastAsia="Calibri"/>
      <w:b/>
      <w:szCs w:val="22"/>
      <w:lang w:bidi="ar-SA"/>
    </w:rPr>
  </w:style>
  <w:style w:type="paragraph" w:customStyle="1" w:styleId="FSCaption">
    <w:name w:val="FSCaption"/>
    <w:basedOn w:val="Normal"/>
    <w:uiPriority w:val="9"/>
    <w:qFormat/>
    <w:locked/>
    <w:rsid w:val="00404702"/>
    <w:pPr>
      <w:keepNext/>
      <w:keepLines/>
      <w:spacing w:before="120"/>
    </w:pPr>
    <w:rPr>
      <w:i/>
      <w:sz w:val="16"/>
      <w:szCs w:val="16"/>
    </w:rPr>
  </w:style>
  <w:style w:type="paragraph" w:customStyle="1" w:styleId="FSCFootnote">
    <w:name w:val="FSCFootnote"/>
    <w:basedOn w:val="Normal"/>
    <w:next w:val="Normal"/>
    <w:uiPriority w:val="17"/>
    <w:qFormat/>
    <w:locked/>
    <w:rsid w:val="00404702"/>
    <w:rPr>
      <w:sz w:val="16"/>
      <w:szCs w:val="20"/>
    </w:rPr>
  </w:style>
  <w:style w:type="paragraph" w:customStyle="1" w:styleId="FSCFooter">
    <w:name w:val="FSCFooter"/>
    <w:basedOn w:val="FSCFootnote"/>
    <w:uiPriority w:val="17"/>
    <w:qFormat/>
    <w:locked/>
    <w:rsid w:val="00404702"/>
    <w:pPr>
      <w:tabs>
        <w:tab w:val="center" w:pos="4536"/>
        <w:tab w:val="right" w:pos="9070"/>
      </w:tabs>
    </w:pPr>
    <w:rPr>
      <w:sz w:val="18"/>
      <w:szCs w:val="18"/>
    </w:rPr>
  </w:style>
  <w:style w:type="paragraph" w:customStyle="1" w:styleId="FSPagenumber">
    <w:name w:val="FSPage number"/>
    <w:basedOn w:val="Normal"/>
    <w:uiPriority w:val="1"/>
    <w:qFormat/>
    <w:locked/>
    <w:rsid w:val="00404702"/>
    <w:pPr>
      <w:jc w:val="center"/>
    </w:pPr>
    <w:rPr>
      <w:sz w:val="20"/>
      <w:szCs w:val="20"/>
    </w:rPr>
  </w:style>
  <w:style w:type="paragraph" w:customStyle="1" w:styleId="FSTableColumnRowheading">
    <w:name w:val="FSTable Column/Row heading"/>
    <w:basedOn w:val="Normal"/>
    <w:uiPriority w:val="8"/>
    <w:qFormat/>
    <w:locked/>
    <w:rsid w:val="00404702"/>
    <w:pPr>
      <w:spacing w:before="120" w:after="120"/>
    </w:pPr>
    <w:rPr>
      <w:b/>
      <w:sz w:val="20"/>
      <w:szCs w:val="20"/>
    </w:rPr>
  </w:style>
  <w:style w:type="paragraph" w:customStyle="1" w:styleId="FSTableFigureHeading">
    <w:name w:val="FSTable/Figure Heading"/>
    <w:basedOn w:val="Normal"/>
    <w:uiPriority w:val="7"/>
    <w:qFormat/>
    <w:locked/>
    <w:rsid w:val="00404702"/>
    <w:pPr>
      <w:spacing w:before="120" w:after="120"/>
      <w:ind w:left="1134" w:hanging="1134"/>
    </w:pPr>
    <w:rPr>
      <w:b/>
      <w:i/>
    </w:rPr>
  </w:style>
  <w:style w:type="paragraph" w:styleId="Header">
    <w:name w:val="header"/>
    <w:aliases w:val="FSHeader,header protocols"/>
    <w:basedOn w:val="Normal"/>
    <w:link w:val="HeaderChar"/>
    <w:locked/>
    <w:rsid w:val="00333AC0"/>
  </w:style>
  <w:style w:type="character" w:customStyle="1" w:styleId="HeaderChar">
    <w:name w:val="Header Char"/>
    <w:aliases w:val="FSHeader Char,header protocols Char"/>
    <w:basedOn w:val="DefaultParagraphFont"/>
    <w:link w:val="Header"/>
    <w:rsid w:val="00333AC0"/>
    <w:rPr>
      <w:rFonts w:eastAsia="Times New Roman" w:cs="Times New Roman"/>
      <w:szCs w:val="24"/>
      <w:lang w:val="en-GB" w:bidi="en-US"/>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b/>
      <w:caps/>
      <w:sz w:val="20"/>
      <w:szCs w:val="20"/>
    </w:rPr>
  </w:style>
  <w:style w:type="paragraph" w:customStyle="1" w:styleId="Standardtitle">
    <w:name w:val="Standard title"/>
    <w:basedOn w:val="Normal"/>
    <w:uiPriority w:val="18"/>
    <w:qFormat/>
    <w:rsid w:val="00404702"/>
    <w:pPr>
      <w:keepNext/>
      <w:tabs>
        <w:tab w:val="left" w:pos="851"/>
      </w:tabs>
      <w:jc w:val="center"/>
    </w:pPr>
    <w:rPr>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333AC0"/>
    <w:pPr>
      <w:ind w:left="720"/>
      <w:contextualSpacing/>
    </w:pPr>
  </w:style>
  <w:style w:type="character" w:customStyle="1" w:styleId="Heading7Char">
    <w:name w:val="Heading 7 Char"/>
    <w:basedOn w:val="DefaultParagraphFont"/>
    <w:link w:val="Heading7"/>
    <w:uiPriority w:val="9"/>
    <w:rsid w:val="00333AC0"/>
    <w:rPr>
      <w:rFonts w:eastAsia="Times New Roman" w:cs="Times New Roman"/>
      <w:szCs w:val="24"/>
      <w:lang w:val="en-GB" w:bidi="en-US"/>
    </w:rPr>
  </w:style>
  <w:style w:type="character" w:customStyle="1" w:styleId="Heading8Char">
    <w:name w:val="Heading 8 Char"/>
    <w:basedOn w:val="DefaultParagraphFont"/>
    <w:link w:val="Heading8"/>
    <w:uiPriority w:val="9"/>
    <w:rsid w:val="00333AC0"/>
    <w:rPr>
      <w:rFonts w:eastAsia="Times New Roman" w:cs="Times New Roman"/>
      <w:i/>
      <w:iCs/>
      <w:szCs w:val="24"/>
      <w:lang w:val="en-GB" w:bidi="en-US"/>
    </w:rPr>
  </w:style>
  <w:style w:type="character" w:customStyle="1" w:styleId="Heading9Char">
    <w:name w:val="Heading 9 Char"/>
    <w:basedOn w:val="DefaultParagraphFont"/>
    <w:link w:val="Heading9"/>
    <w:uiPriority w:val="9"/>
    <w:rsid w:val="00333AC0"/>
    <w:rPr>
      <w:rFonts w:ascii="Cambria" w:eastAsia="Times New Roman" w:hAnsi="Cambria" w:cs="Times New Roman"/>
      <w:lang w:val="en-GB" w:bidi="en-US"/>
    </w:rPr>
  </w:style>
  <w:style w:type="character" w:styleId="Hyperlink">
    <w:name w:val="Hyperlink"/>
    <w:basedOn w:val="DefaultParagraphFont"/>
    <w:uiPriority w:val="99"/>
    <w:rsid w:val="00333AC0"/>
    <w:rPr>
      <w:rFonts w:ascii="Arial" w:hAnsi="Arial"/>
      <w:color w:val="3333FF"/>
      <w:u w:val="single"/>
    </w:rPr>
  </w:style>
  <w:style w:type="paragraph" w:customStyle="1" w:styleId="FSTitle">
    <w:name w:val="FS Title"/>
    <w:basedOn w:val="Normal"/>
    <w:qFormat/>
    <w:rsid w:val="00333AC0"/>
    <w:rPr>
      <w:rFonts w:cs="Tahoma"/>
      <w:bCs/>
      <w:sz w:val="32"/>
    </w:rPr>
  </w:style>
  <w:style w:type="paragraph" w:customStyle="1" w:styleId="FSCbaseheading">
    <w:name w:val="FSC_base_heading"/>
    <w:rsid w:val="00333AC0"/>
    <w:pPr>
      <w:keepNext/>
      <w:keepLines/>
      <w:spacing w:before="360"/>
      <w:ind w:left="2835" w:hanging="2835"/>
    </w:pPr>
    <w:rPr>
      <w:rFonts w:eastAsia="Times New Roman"/>
      <w:b/>
      <w:bCs/>
      <w:kern w:val="32"/>
      <w:sz w:val="24"/>
      <w:szCs w:val="32"/>
      <w:lang w:val="en-GB" w:eastAsia="en-AU"/>
    </w:rPr>
  </w:style>
  <w:style w:type="paragraph" w:styleId="TOC1">
    <w:name w:val="toc 1"/>
    <w:basedOn w:val="Normal"/>
    <w:next w:val="Normal"/>
    <w:autoRedefine/>
    <w:uiPriority w:val="39"/>
    <w:qFormat/>
    <w:rsid w:val="00333AC0"/>
    <w:pPr>
      <w:tabs>
        <w:tab w:val="right" w:leader="dot" w:pos="9060"/>
      </w:tabs>
      <w:spacing w:before="120" w:after="120"/>
    </w:pPr>
    <w:rPr>
      <w:rFonts w:cstheme="minorHAnsi"/>
      <w:b/>
      <w:bCs/>
      <w:caps/>
      <w:szCs w:val="20"/>
    </w:rPr>
  </w:style>
  <w:style w:type="paragraph" w:styleId="TOC2">
    <w:name w:val="toc 2"/>
    <w:basedOn w:val="Normal"/>
    <w:next w:val="Normal"/>
    <w:autoRedefine/>
    <w:uiPriority w:val="39"/>
    <w:qFormat/>
    <w:rsid w:val="00333AC0"/>
    <w:pPr>
      <w:spacing w:before="120" w:after="120"/>
      <w:ind w:left="221"/>
    </w:pPr>
    <w:rPr>
      <w:rFonts w:cstheme="minorHAnsi"/>
      <w:smallCaps/>
      <w:szCs w:val="20"/>
    </w:rPr>
  </w:style>
  <w:style w:type="character" w:styleId="PageNumber">
    <w:name w:val="page number"/>
    <w:basedOn w:val="DefaultParagraphFont"/>
    <w:rsid w:val="00333AC0"/>
    <w:rPr>
      <w:rFonts w:ascii="Arial" w:hAnsi="Arial"/>
    </w:rPr>
  </w:style>
  <w:style w:type="paragraph" w:styleId="TOC3">
    <w:name w:val="toc 3"/>
    <w:basedOn w:val="Normal"/>
    <w:next w:val="Normal"/>
    <w:autoRedefine/>
    <w:uiPriority w:val="39"/>
    <w:qFormat/>
    <w:rsid w:val="00333AC0"/>
    <w:pPr>
      <w:ind w:left="440"/>
    </w:pPr>
    <w:rPr>
      <w:rFonts w:asciiTheme="minorHAnsi" w:hAnsiTheme="minorHAnsi" w:cstheme="minorHAnsi"/>
      <w:i/>
      <w:iCs/>
      <w:sz w:val="20"/>
      <w:szCs w:val="20"/>
    </w:rPr>
  </w:style>
  <w:style w:type="paragraph" w:styleId="TOC4">
    <w:name w:val="toc 4"/>
    <w:basedOn w:val="Normal"/>
    <w:next w:val="Normal"/>
    <w:autoRedefine/>
    <w:semiHidden/>
    <w:rsid w:val="00333AC0"/>
    <w:pPr>
      <w:ind w:left="660"/>
    </w:pPr>
    <w:rPr>
      <w:rFonts w:asciiTheme="minorHAnsi" w:hAnsiTheme="minorHAnsi" w:cstheme="minorHAnsi"/>
      <w:sz w:val="18"/>
      <w:szCs w:val="18"/>
    </w:rPr>
  </w:style>
  <w:style w:type="paragraph" w:styleId="TOC5">
    <w:name w:val="toc 5"/>
    <w:basedOn w:val="Normal"/>
    <w:next w:val="Normal"/>
    <w:autoRedefine/>
    <w:semiHidden/>
    <w:rsid w:val="00333AC0"/>
    <w:pPr>
      <w:ind w:left="880"/>
    </w:pPr>
    <w:rPr>
      <w:rFonts w:asciiTheme="minorHAnsi" w:hAnsiTheme="minorHAnsi" w:cstheme="minorHAnsi"/>
      <w:sz w:val="18"/>
      <w:szCs w:val="18"/>
    </w:rPr>
  </w:style>
  <w:style w:type="character" w:styleId="FollowedHyperlink">
    <w:name w:val="FollowedHyperlink"/>
    <w:basedOn w:val="DefaultParagraphFont"/>
    <w:rsid w:val="00333AC0"/>
    <w:rPr>
      <w:rFonts w:ascii="Arial" w:hAnsi="Arial"/>
      <w:color w:val="3333FF"/>
      <w:sz w:val="22"/>
      <w:u w:val="single"/>
    </w:rPr>
  </w:style>
  <w:style w:type="paragraph" w:styleId="TOC6">
    <w:name w:val="toc 6"/>
    <w:basedOn w:val="Normal"/>
    <w:next w:val="Normal"/>
    <w:autoRedefine/>
    <w:semiHidden/>
    <w:rsid w:val="00333AC0"/>
    <w:pPr>
      <w:ind w:left="1100"/>
    </w:pPr>
    <w:rPr>
      <w:rFonts w:asciiTheme="minorHAnsi" w:hAnsiTheme="minorHAnsi" w:cstheme="minorHAnsi"/>
      <w:sz w:val="18"/>
      <w:szCs w:val="18"/>
    </w:rPr>
  </w:style>
  <w:style w:type="paragraph" w:customStyle="1" w:styleId="FSCbasepara">
    <w:name w:val="FSC_base_para"/>
    <w:rsid w:val="00333AC0"/>
    <w:pPr>
      <w:keepLines/>
      <w:spacing w:before="120"/>
      <w:ind w:left="1701" w:hanging="1701"/>
    </w:pPr>
    <w:rPr>
      <w:rFonts w:eastAsia="Times New Roman"/>
      <w:iCs/>
      <w:sz w:val="20"/>
      <w:lang w:val="en-GB" w:eastAsia="en-AU"/>
    </w:rPr>
  </w:style>
  <w:style w:type="paragraph" w:customStyle="1" w:styleId="FSCbasetbl">
    <w:name w:val="FSC_base_tbl"/>
    <w:basedOn w:val="FSCbasepara"/>
    <w:rsid w:val="00333AC0"/>
    <w:pPr>
      <w:spacing w:before="60" w:after="60"/>
      <w:ind w:left="0" w:firstLine="0"/>
    </w:pPr>
    <w:rPr>
      <w:sz w:val="18"/>
    </w:rPr>
  </w:style>
  <w:style w:type="paragraph" w:customStyle="1" w:styleId="FSCbaseTOC">
    <w:name w:val="FSC_base_TOC"/>
    <w:rsid w:val="00333AC0"/>
    <w:pPr>
      <w:tabs>
        <w:tab w:val="right" w:pos="8278"/>
      </w:tabs>
      <w:ind w:left="2126" w:hanging="2126"/>
    </w:pPr>
    <w:rPr>
      <w:rFonts w:eastAsia="Times New Roman"/>
      <w:noProof/>
      <w:sz w:val="20"/>
      <w:lang w:val="en-GB" w:eastAsia="en-AU"/>
    </w:rPr>
  </w:style>
  <w:style w:type="paragraph" w:customStyle="1" w:styleId="FSCDraftingitem">
    <w:name w:val="FSC_Drafting_item"/>
    <w:basedOn w:val="Normal"/>
    <w:qFormat/>
    <w:rsid w:val="00333AC0"/>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333AC0"/>
    <w:pPr>
      <w:spacing w:before="120" w:after="120"/>
      <w:ind w:left="851" w:hanging="851"/>
    </w:pPr>
    <w:rPr>
      <w:b/>
      <w:sz w:val="20"/>
      <w:szCs w:val="20"/>
      <w:lang w:bidi="ar-SA"/>
    </w:rPr>
  </w:style>
  <w:style w:type="paragraph" w:customStyle="1" w:styleId="FSCfooter0">
    <w:name w:val="FSC_footer"/>
    <w:basedOn w:val="Normal"/>
    <w:rsid w:val="00333AC0"/>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333AC0"/>
  </w:style>
  <w:style w:type="paragraph" w:customStyle="1" w:styleId="FSCh2Part">
    <w:name w:val="FSC_h2_Part"/>
    <w:basedOn w:val="FSCbaseheading"/>
    <w:next w:val="Normal"/>
    <w:qFormat/>
    <w:rsid w:val="00333AC0"/>
  </w:style>
  <w:style w:type="paragraph" w:customStyle="1" w:styleId="FSCh3Standard">
    <w:name w:val="FSC_h3_Standard"/>
    <w:basedOn w:val="FSCbaseheading"/>
    <w:next w:val="Normal"/>
    <w:qFormat/>
    <w:rsid w:val="00333AC0"/>
  </w:style>
  <w:style w:type="paragraph" w:customStyle="1" w:styleId="FSCh3Contents">
    <w:name w:val="FSC_h3_Contents"/>
    <w:basedOn w:val="FSCh3Standard"/>
    <w:rsid w:val="00333AC0"/>
    <w:pPr>
      <w:spacing w:before="0" w:after="240"/>
      <w:ind w:left="0" w:firstLine="0"/>
      <w:jc w:val="center"/>
      <w:outlineLvl w:val="2"/>
    </w:pPr>
    <w:rPr>
      <w:sz w:val="32"/>
    </w:rPr>
  </w:style>
  <w:style w:type="paragraph" w:customStyle="1" w:styleId="FSCh4Div">
    <w:name w:val="FSC_h4_Div"/>
    <w:basedOn w:val="FSCbaseheading"/>
    <w:next w:val="Normal"/>
    <w:qFormat/>
    <w:rsid w:val="00333AC0"/>
  </w:style>
  <w:style w:type="paragraph" w:customStyle="1" w:styleId="FSCh5SchItem">
    <w:name w:val="FSC_h5_Sch_Item"/>
    <w:basedOn w:val="Normal"/>
    <w:next w:val="Normal"/>
    <w:qFormat/>
    <w:rsid w:val="00333AC0"/>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333AC0"/>
  </w:style>
  <w:style w:type="paragraph" w:customStyle="1" w:styleId="FSCh6Subsec">
    <w:name w:val="FSC_h6_Subsec"/>
    <w:basedOn w:val="FSCbaseheading"/>
    <w:next w:val="Normal"/>
    <w:qFormat/>
    <w:rsid w:val="00333AC0"/>
  </w:style>
  <w:style w:type="paragraph" w:customStyle="1" w:styleId="Footnote">
    <w:name w:val="Footnote"/>
    <w:basedOn w:val="Normal"/>
    <w:rsid w:val="00333AC0"/>
    <w:pPr>
      <w:tabs>
        <w:tab w:val="left" w:pos="851"/>
      </w:tabs>
    </w:pPr>
    <w:rPr>
      <w:sz w:val="20"/>
      <w:szCs w:val="20"/>
    </w:rPr>
  </w:style>
  <w:style w:type="paragraph" w:styleId="TOC7">
    <w:name w:val="toc 7"/>
    <w:basedOn w:val="Normal"/>
    <w:next w:val="Normal"/>
    <w:autoRedefine/>
    <w:semiHidden/>
    <w:rsid w:val="00333AC0"/>
    <w:pPr>
      <w:ind w:left="1320"/>
    </w:pPr>
    <w:rPr>
      <w:rFonts w:asciiTheme="minorHAnsi" w:hAnsiTheme="minorHAnsi" w:cstheme="minorHAnsi"/>
      <w:sz w:val="18"/>
      <w:szCs w:val="18"/>
    </w:rPr>
  </w:style>
  <w:style w:type="paragraph" w:styleId="TOC8">
    <w:name w:val="toc 8"/>
    <w:basedOn w:val="Normal"/>
    <w:next w:val="Normal"/>
    <w:autoRedefine/>
    <w:semiHidden/>
    <w:rsid w:val="00333AC0"/>
    <w:pPr>
      <w:ind w:left="1540"/>
    </w:pPr>
    <w:rPr>
      <w:rFonts w:asciiTheme="minorHAnsi" w:hAnsiTheme="minorHAnsi" w:cstheme="minorHAnsi"/>
      <w:sz w:val="18"/>
      <w:szCs w:val="18"/>
    </w:rPr>
  </w:style>
  <w:style w:type="paragraph" w:styleId="TOC9">
    <w:name w:val="toc 9"/>
    <w:basedOn w:val="Normal"/>
    <w:next w:val="Normal"/>
    <w:autoRedefine/>
    <w:semiHidden/>
    <w:rsid w:val="00333AC0"/>
    <w:pPr>
      <w:ind w:left="1760"/>
    </w:pPr>
    <w:rPr>
      <w:rFonts w:asciiTheme="minorHAnsi" w:hAnsiTheme="minorHAnsi" w:cstheme="minorHAnsi"/>
      <w:sz w:val="18"/>
      <w:szCs w:val="18"/>
    </w:rPr>
  </w:style>
  <w:style w:type="character" w:styleId="FootnoteReference">
    <w:name w:val="footnote reference"/>
    <w:basedOn w:val="DefaultParagraphFont"/>
    <w:rsid w:val="00333AC0"/>
    <w:rPr>
      <w:vertAlign w:val="superscript"/>
    </w:rPr>
  </w:style>
  <w:style w:type="paragraph" w:styleId="BalloonText">
    <w:name w:val="Balloon Text"/>
    <w:basedOn w:val="Normal"/>
    <w:link w:val="BalloonTextChar"/>
    <w:semiHidden/>
    <w:rsid w:val="00333AC0"/>
    <w:rPr>
      <w:rFonts w:ascii="Tahoma" w:hAnsi="Tahoma" w:cs="Tahoma"/>
      <w:sz w:val="16"/>
      <w:szCs w:val="16"/>
    </w:rPr>
  </w:style>
  <w:style w:type="character" w:customStyle="1" w:styleId="BalloonTextChar">
    <w:name w:val="Balloon Text Char"/>
    <w:basedOn w:val="DefaultParagraphFont"/>
    <w:link w:val="BalloonText"/>
    <w:semiHidden/>
    <w:rsid w:val="00333AC0"/>
    <w:rPr>
      <w:rFonts w:ascii="Tahoma" w:eastAsia="Times New Roman" w:hAnsi="Tahoma" w:cs="Tahoma"/>
      <w:sz w:val="16"/>
      <w:szCs w:val="16"/>
      <w:lang w:val="en-GB" w:bidi="en-US"/>
    </w:rPr>
  </w:style>
  <w:style w:type="paragraph" w:styleId="TOCHeading">
    <w:name w:val="TOC Heading"/>
    <w:basedOn w:val="Heading1"/>
    <w:next w:val="Normal"/>
    <w:uiPriority w:val="39"/>
    <w:unhideWhenUsed/>
    <w:qFormat/>
    <w:rsid w:val="00333AC0"/>
    <w:pPr>
      <w:jc w:val="center"/>
      <w:outlineLvl w:val="9"/>
    </w:pPr>
  </w:style>
  <w:style w:type="paragraph" w:customStyle="1" w:styleId="FSCtMain">
    <w:name w:val="FSC_t_Main"/>
    <w:basedOn w:val="FSCbasepara"/>
    <w:rsid w:val="00333AC0"/>
    <w:pPr>
      <w:keepLines w:val="0"/>
      <w:widowControl w:val="0"/>
      <w:tabs>
        <w:tab w:val="left" w:pos="1134"/>
      </w:tabs>
      <w:spacing w:after="120"/>
    </w:pPr>
  </w:style>
  <w:style w:type="paragraph" w:customStyle="1" w:styleId="FSCnatHeading">
    <w:name w:val="FSC_n_at_Heading"/>
    <w:basedOn w:val="FSCtMain"/>
    <w:qFormat/>
    <w:rsid w:val="00333AC0"/>
    <w:pPr>
      <w:ind w:left="851" w:hanging="851"/>
    </w:pPr>
    <w:rPr>
      <w:sz w:val="16"/>
    </w:rPr>
  </w:style>
  <w:style w:type="table" w:styleId="TableGrid">
    <w:name w:val="Table Grid"/>
    <w:basedOn w:val="TableNormal"/>
    <w:rsid w:val="00333AC0"/>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333AC0"/>
    <w:rPr>
      <w:rFonts w:cs="Arial"/>
      <w:b/>
    </w:rPr>
  </w:style>
  <w:style w:type="paragraph" w:customStyle="1" w:styleId="FSTableHeading">
    <w:name w:val="FS Table Heading"/>
    <w:basedOn w:val="Normal"/>
    <w:qFormat/>
    <w:rsid w:val="00333AC0"/>
    <w:pPr>
      <w:jc w:val="center"/>
    </w:pPr>
    <w:rPr>
      <w:rFonts w:ascii="Arial Bold" w:hAnsi="Arial Bold" w:cs="Arial"/>
      <w:b/>
      <w:sz w:val="20"/>
      <w:szCs w:val="20"/>
    </w:rPr>
  </w:style>
  <w:style w:type="paragraph" w:customStyle="1" w:styleId="FSTableText">
    <w:name w:val="FS Table Text"/>
    <w:basedOn w:val="Normal"/>
    <w:qFormat/>
    <w:rsid w:val="00333AC0"/>
    <w:rPr>
      <w:rFonts w:cs="Arial"/>
      <w:sz w:val="20"/>
      <w:szCs w:val="20"/>
    </w:rPr>
  </w:style>
  <w:style w:type="paragraph" w:customStyle="1" w:styleId="FSFigureTitle">
    <w:name w:val="FS Figure Title"/>
    <w:basedOn w:val="Normal"/>
    <w:next w:val="Normal"/>
    <w:qFormat/>
    <w:rsid w:val="00333AC0"/>
    <w:rPr>
      <w:rFonts w:cs="Arial"/>
      <w:i/>
    </w:rPr>
  </w:style>
  <w:style w:type="character" w:styleId="CommentReference">
    <w:name w:val="annotation reference"/>
    <w:basedOn w:val="DefaultParagraphFont"/>
    <w:uiPriority w:val="99"/>
    <w:rsid w:val="00333AC0"/>
    <w:rPr>
      <w:sz w:val="16"/>
      <w:szCs w:val="16"/>
    </w:rPr>
  </w:style>
  <w:style w:type="paragraph" w:customStyle="1" w:styleId="FSCtPara">
    <w:name w:val="FSC_t_Para"/>
    <w:basedOn w:val="FSCtMain"/>
    <w:qFormat/>
    <w:rsid w:val="00333AC0"/>
    <w:pPr>
      <w:tabs>
        <w:tab w:val="clear" w:pos="1134"/>
        <w:tab w:val="left" w:pos="1701"/>
      </w:tabs>
      <w:spacing w:before="60" w:after="60"/>
      <w:ind w:left="2268" w:hanging="2268"/>
    </w:pPr>
  </w:style>
  <w:style w:type="paragraph" w:customStyle="1" w:styleId="FSCnMain">
    <w:name w:val="FSC_n_Main"/>
    <w:basedOn w:val="FSCtPara"/>
    <w:qFormat/>
    <w:rsid w:val="00333AC0"/>
    <w:rPr>
      <w:iCs w:val="0"/>
      <w:sz w:val="16"/>
      <w:szCs w:val="18"/>
    </w:rPr>
  </w:style>
  <w:style w:type="paragraph" w:customStyle="1" w:styleId="FSCtSubpara">
    <w:name w:val="FSC_t_Subpara"/>
    <w:basedOn w:val="FSCtMain"/>
    <w:qFormat/>
    <w:rsid w:val="00333AC0"/>
    <w:pPr>
      <w:tabs>
        <w:tab w:val="clear" w:pos="1134"/>
        <w:tab w:val="left" w:pos="2268"/>
      </w:tabs>
      <w:spacing w:before="60" w:after="60"/>
      <w:ind w:left="2835" w:hanging="2835"/>
    </w:pPr>
  </w:style>
  <w:style w:type="paragraph" w:customStyle="1" w:styleId="FSCnPara">
    <w:name w:val="FSC_n_Para"/>
    <w:basedOn w:val="FSCtSubpara"/>
    <w:qFormat/>
    <w:rsid w:val="00333AC0"/>
    <w:rPr>
      <w:sz w:val="16"/>
    </w:rPr>
  </w:style>
  <w:style w:type="paragraph" w:customStyle="1" w:styleId="FSCtSubsub">
    <w:name w:val="FSC_t_Subsub"/>
    <w:basedOn w:val="FSCtPara"/>
    <w:qFormat/>
    <w:rsid w:val="00333AC0"/>
    <w:pPr>
      <w:tabs>
        <w:tab w:val="clear" w:pos="1701"/>
        <w:tab w:val="left" w:pos="2835"/>
      </w:tabs>
      <w:ind w:left="3402" w:hanging="3402"/>
    </w:pPr>
  </w:style>
  <w:style w:type="paragraph" w:customStyle="1" w:styleId="FSCnSubpara">
    <w:name w:val="FSC_n_Subpara"/>
    <w:basedOn w:val="FSCtSubsub"/>
    <w:qFormat/>
    <w:rsid w:val="00333AC0"/>
    <w:rPr>
      <w:sz w:val="16"/>
    </w:rPr>
  </w:style>
  <w:style w:type="table" w:styleId="MediumShading1-Accent3">
    <w:name w:val="Medium Shading 1 Accent 3"/>
    <w:basedOn w:val="TableNormal"/>
    <w:uiPriority w:val="63"/>
    <w:rsid w:val="00333AC0"/>
    <w:rPr>
      <w:rFonts w:ascii="Calibri" w:eastAsia="Times New Roman" w:hAnsi="Calibri" w:cs="Times New Roman"/>
      <w:sz w:val="20"/>
      <w:szCs w:val="20"/>
      <w:lang w:val="en-GB" w:eastAsia="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333AC0"/>
    <w:pPr>
      <w:tabs>
        <w:tab w:val="clear" w:pos="2835"/>
        <w:tab w:val="left" w:pos="3402"/>
      </w:tabs>
      <w:ind w:left="3969" w:hanging="3969"/>
    </w:pPr>
  </w:style>
  <w:style w:type="paragraph" w:customStyle="1" w:styleId="FSCoContents">
    <w:name w:val="FSC_o_Contents"/>
    <w:basedOn w:val="FSCh2Part"/>
    <w:rsid w:val="00333AC0"/>
    <w:pPr>
      <w:spacing w:before="240" w:after="240"/>
      <w:ind w:left="0" w:firstLine="0"/>
      <w:jc w:val="center"/>
      <w:outlineLvl w:val="1"/>
    </w:pPr>
    <w:rPr>
      <w:bCs w:val="0"/>
      <w:sz w:val="36"/>
      <w:szCs w:val="22"/>
    </w:rPr>
  </w:style>
  <w:style w:type="paragraph" w:customStyle="1" w:styleId="FSCoDraftstrip">
    <w:name w:val="FSC_o_Draft_strip"/>
    <w:basedOn w:val="Normal"/>
    <w:rsid w:val="00333AC0"/>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333AC0"/>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333AC0"/>
    <w:pPr>
      <w:widowControl/>
      <w:spacing w:before="80"/>
    </w:pPr>
    <w:rPr>
      <w:color w:val="7030A0"/>
      <w:lang w:eastAsia="en-AU" w:bidi="ar-SA"/>
    </w:rPr>
  </w:style>
  <w:style w:type="paragraph" w:customStyle="1" w:styleId="FSCoFooter">
    <w:name w:val="FSC_o_Footer"/>
    <w:basedOn w:val="Normal"/>
    <w:rsid w:val="00333AC0"/>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333AC0"/>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333AC0"/>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333AC0"/>
    <w:rPr>
      <w:rFonts w:eastAsia="Times New Roman" w:cs="Times New Roman"/>
      <w:b/>
      <w:noProof/>
      <w:sz w:val="20"/>
      <w:szCs w:val="24"/>
      <w:lang w:val="en-GB" w:eastAsia="en-AU"/>
    </w:rPr>
  </w:style>
  <w:style w:type="paragraph" w:customStyle="1" w:styleId="FSCoParaMark">
    <w:name w:val="FSC_o_Para_Mark"/>
    <w:basedOn w:val="Normal"/>
    <w:next w:val="Normal"/>
    <w:qFormat/>
    <w:rsid w:val="00333AC0"/>
    <w:pPr>
      <w:widowControl/>
    </w:pPr>
    <w:rPr>
      <w:sz w:val="16"/>
      <w:lang w:eastAsia="en-AU" w:bidi="ar-SA"/>
    </w:rPr>
  </w:style>
  <w:style w:type="paragraph" w:customStyle="1" w:styleId="FSCoStandardEnd">
    <w:name w:val="FSC_o_Standard_End"/>
    <w:basedOn w:val="FSCtMain"/>
    <w:qFormat/>
    <w:rsid w:val="00333AC0"/>
    <w:pPr>
      <w:spacing w:before="240" w:after="0"/>
      <w:jc w:val="center"/>
    </w:pPr>
    <w:rPr>
      <w:iCs w:val="0"/>
    </w:rPr>
  </w:style>
  <w:style w:type="paragraph" w:customStyle="1" w:styleId="FSCoTitleofInstrument">
    <w:name w:val="FSC_o_Title_of_Instrument"/>
    <w:basedOn w:val="Normal"/>
    <w:rsid w:val="00333AC0"/>
    <w:pPr>
      <w:widowControl/>
      <w:spacing w:before="200"/>
    </w:pPr>
    <w:rPr>
      <w:b/>
      <w:sz w:val="32"/>
      <w:lang w:eastAsia="en-AU" w:bidi="ar-SA"/>
    </w:rPr>
  </w:style>
  <w:style w:type="paragraph" w:customStyle="1" w:styleId="FSCoutChap">
    <w:name w:val="FSC_out_Chap"/>
    <w:basedOn w:val="FSCh4Div"/>
    <w:qFormat/>
    <w:rsid w:val="00333AC0"/>
    <w:pPr>
      <w:keepNext w:val="0"/>
      <w:keepLines w:val="0"/>
      <w:widowControl w:val="0"/>
      <w:tabs>
        <w:tab w:val="left" w:pos="1701"/>
      </w:tabs>
      <w:spacing w:before="240" w:after="120"/>
      <w:ind w:left="3402" w:hanging="3402"/>
      <w:outlineLvl w:val="3"/>
    </w:pPr>
    <w:rPr>
      <w:rFonts w:cs="Times New Roman"/>
      <w:sz w:val="26"/>
    </w:rPr>
  </w:style>
  <w:style w:type="paragraph" w:customStyle="1" w:styleId="FSCoutPart">
    <w:name w:val="FSC_out_Part"/>
    <w:basedOn w:val="FSCh5Section"/>
    <w:qFormat/>
    <w:rsid w:val="00333AC0"/>
    <w:pPr>
      <w:keepNext w:val="0"/>
      <w:keepLines w:val="0"/>
      <w:widowControl w:val="0"/>
      <w:tabs>
        <w:tab w:val="left" w:pos="1701"/>
      </w:tabs>
      <w:spacing w:before="240" w:after="120"/>
      <w:ind w:left="3402" w:hanging="3402"/>
      <w:outlineLvl w:val="4"/>
    </w:pPr>
    <w:rPr>
      <w:rFonts w:cs="Times New Roman"/>
      <w:sz w:val="22"/>
      <w:szCs w:val="24"/>
    </w:rPr>
  </w:style>
  <w:style w:type="paragraph" w:customStyle="1" w:styleId="FSCoutStand">
    <w:name w:val="FSC_out_Stand"/>
    <w:basedOn w:val="FSCtMain"/>
    <w:qFormat/>
    <w:rsid w:val="00333AC0"/>
    <w:pPr>
      <w:tabs>
        <w:tab w:val="clear" w:pos="1134"/>
        <w:tab w:val="left" w:pos="1701"/>
      </w:tabs>
      <w:ind w:left="3402" w:hanging="3402"/>
    </w:pPr>
  </w:style>
  <w:style w:type="paragraph" w:customStyle="1" w:styleId="FSCtDefn">
    <w:name w:val="FSC_t_Defn"/>
    <w:basedOn w:val="FSCtMain"/>
    <w:rsid w:val="00333AC0"/>
    <w:pPr>
      <w:ind w:firstLine="0"/>
    </w:pPr>
  </w:style>
  <w:style w:type="paragraph" w:customStyle="1" w:styleId="FSCtblAddh1">
    <w:name w:val="FSC_tbl_Add_h1"/>
    <w:basedOn w:val="FSCh4Div"/>
    <w:rsid w:val="00333AC0"/>
    <w:pPr>
      <w:keepNext w:val="0"/>
      <w:keepLines w:val="0"/>
      <w:widowControl w:val="0"/>
      <w:spacing w:before="120" w:after="120"/>
      <w:ind w:left="1701" w:hanging="1701"/>
      <w:outlineLvl w:val="3"/>
    </w:pPr>
    <w:rPr>
      <w:rFonts w:eastAsiaTheme="minorHAnsi" w:cs="Times New Roman"/>
      <w:sz w:val="20"/>
      <w:lang w:eastAsia="en-US"/>
    </w:rPr>
  </w:style>
  <w:style w:type="paragraph" w:customStyle="1" w:styleId="FSCtblAddh2">
    <w:name w:val="FSC_tbl_Add_h2"/>
    <w:basedOn w:val="FSCtblAddh1"/>
    <w:rsid w:val="00333AC0"/>
    <w:pPr>
      <w:spacing w:before="60" w:after="60"/>
    </w:pPr>
    <w:rPr>
      <w:i/>
    </w:rPr>
  </w:style>
  <w:style w:type="paragraph" w:customStyle="1" w:styleId="FSCtblAddh3">
    <w:name w:val="FSC_tbl_Add_h3"/>
    <w:basedOn w:val="Normal"/>
    <w:rsid w:val="00333AC0"/>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333AC0"/>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333AC0"/>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333AC0"/>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333AC0"/>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333AC0"/>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333AC0"/>
    <w:pPr>
      <w:widowControl/>
      <w:ind w:left="113" w:hanging="113"/>
    </w:pPr>
    <w:rPr>
      <w:bCs/>
      <w:sz w:val="16"/>
      <w:szCs w:val="20"/>
      <w:lang w:bidi="ar-SA"/>
    </w:rPr>
  </w:style>
  <w:style w:type="paragraph" w:customStyle="1" w:styleId="FSCtblh2">
    <w:name w:val="FSC_tbl_h2"/>
    <w:basedOn w:val="Normal"/>
    <w:qFormat/>
    <w:rsid w:val="00333AC0"/>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333AC0"/>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333AC0"/>
    <w:pPr>
      <w:keepNext/>
      <w:keepLines/>
      <w:widowControl/>
      <w:spacing w:before="60" w:after="60"/>
    </w:pPr>
    <w:rPr>
      <w:rFonts w:cs="Arial"/>
      <w:i/>
      <w:sz w:val="18"/>
      <w:szCs w:val="22"/>
      <w:lang w:eastAsia="en-AU" w:bidi="ar-SA"/>
    </w:rPr>
  </w:style>
  <w:style w:type="paragraph" w:customStyle="1" w:styleId="FSCtblMain">
    <w:name w:val="FSC_tbl_Main"/>
    <w:basedOn w:val="Normal"/>
    <w:rsid w:val="00333AC0"/>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333AC0"/>
    <w:pPr>
      <w:jc w:val="center"/>
    </w:pPr>
    <w:rPr>
      <w:rFonts w:eastAsiaTheme="minorHAnsi"/>
      <w:lang w:eastAsia="en-US"/>
    </w:rPr>
  </w:style>
  <w:style w:type="paragraph" w:customStyle="1" w:styleId="FSCtblMainRH">
    <w:name w:val="FSC_tbl_Main_RH"/>
    <w:basedOn w:val="FSCtblMain"/>
    <w:qFormat/>
    <w:rsid w:val="00333AC0"/>
    <w:pPr>
      <w:jc w:val="right"/>
    </w:pPr>
    <w:rPr>
      <w:rFonts w:eastAsiaTheme="minorHAnsi"/>
      <w:lang w:eastAsia="en-US"/>
    </w:rPr>
  </w:style>
  <w:style w:type="paragraph" w:customStyle="1" w:styleId="FSCtblMRL1">
    <w:name w:val="FSC_tbl_MRL1"/>
    <w:basedOn w:val="Normal"/>
    <w:rsid w:val="00333AC0"/>
    <w:pPr>
      <w:keepLines/>
      <w:widowControl/>
      <w:spacing w:before="20" w:after="20"/>
    </w:pPr>
    <w:rPr>
      <w:rFonts w:cs="Arial"/>
      <w:sz w:val="18"/>
      <w:szCs w:val="20"/>
      <w:lang w:eastAsia="en-AU" w:bidi="ar-SA"/>
    </w:rPr>
  </w:style>
  <w:style w:type="paragraph" w:customStyle="1" w:styleId="FSCtblMRL2">
    <w:name w:val="FSC_tbl_MRL2"/>
    <w:basedOn w:val="FSCtblMRL1"/>
    <w:qFormat/>
    <w:rsid w:val="00333AC0"/>
    <w:pPr>
      <w:jc w:val="right"/>
    </w:pPr>
    <w:rPr>
      <w:rFonts w:eastAsiaTheme="minorHAnsi"/>
      <w:lang w:eastAsia="en-US"/>
    </w:rPr>
  </w:style>
  <w:style w:type="paragraph" w:customStyle="1" w:styleId="FSCtblPara">
    <w:name w:val="FSC_tbl_Para"/>
    <w:basedOn w:val="Normal"/>
    <w:rsid w:val="00333AC0"/>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333AC0"/>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sid w:val="00333AC0"/>
    <w:rPr>
      <w:sz w:val="20"/>
      <w:szCs w:val="20"/>
    </w:rPr>
  </w:style>
  <w:style w:type="character" w:customStyle="1" w:styleId="CommentTextChar">
    <w:name w:val="Comment Text Char"/>
    <w:basedOn w:val="DefaultParagraphFont"/>
    <w:link w:val="CommentText"/>
    <w:rsid w:val="00333AC0"/>
    <w:rPr>
      <w:rFonts w:eastAsia="Times New Roman" w:cs="Times New Roman"/>
      <w:sz w:val="20"/>
      <w:szCs w:val="20"/>
      <w:lang w:val="en-GB" w:bidi="en-US"/>
    </w:rPr>
  </w:style>
  <w:style w:type="paragraph" w:styleId="CommentSubject">
    <w:name w:val="annotation subject"/>
    <w:basedOn w:val="CommentText"/>
    <w:next w:val="CommentText"/>
    <w:link w:val="CommentSubjectChar"/>
    <w:rsid w:val="00333AC0"/>
    <w:rPr>
      <w:b/>
      <w:bCs/>
    </w:rPr>
  </w:style>
  <w:style w:type="character" w:customStyle="1" w:styleId="CommentSubjectChar">
    <w:name w:val="Comment Subject Char"/>
    <w:basedOn w:val="CommentTextChar"/>
    <w:link w:val="CommentSubject"/>
    <w:rsid w:val="00333AC0"/>
    <w:rPr>
      <w:rFonts w:eastAsia="Times New Roman" w:cs="Times New Roman"/>
      <w:b/>
      <w:bCs/>
      <w:sz w:val="20"/>
      <w:szCs w:val="20"/>
      <w:lang w:val="en-GB" w:bidi="en-US"/>
    </w:rPr>
  </w:style>
  <w:style w:type="paragraph" w:styleId="BodyText">
    <w:name w:val="Body Text"/>
    <w:basedOn w:val="Normal"/>
    <w:link w:val="BodyTextChar"/>
    <w:rsid w:val="00333AC0"/>
    <w:pPr>
      <w:spacing w:after="120"/>
    </w:pPr>
  </w:style>
  <w:style w:type="character" w:customStyle="1" w:styleId="BodyTextChar">
    <w:name w:val="Body Text Char"/>
    <w:basedOn w:val="DefaultParagraphFont"/>
    <w:link w:val="BodyText"/>
    <w:rsid w:val="00333AC0"/>
    <w:rPr>
      <w:rFonts w:eastAsia="Times New Roman" w:cs="Times New Roman"/>
      <w:szCs w:val="24"/>
      <w:lang w:val="en-GB" w:bidi="en-US"/>
    </w:rPr>
  </w:style>
  <w:style w:type="paragraph" w:styleId="Caption">
    <w:name w:val="caption"/>
    <w:basedOn w:val="Normal"/>
    <w:next w:val="Normal"/>
    <w:unhideWhenUsed/>
    <w:rsid w:val="00333AC0"/>
    <w:pPr>
      <w:widowControl/>
    </w:pPr>
    <w:rPr>
      <w:b/>
      <w:bCs/>
      <w:sz w:val="20"/>
      <w:szCs w:val="20"/>
      <w:lang w:val="en-AU" w:bidi="ar-SA"/>
    </w:rPr>
  </w:style>
  <w:style w:type="paragraph" w:styleId="TableofFigures">
    <w:name w:val="table of figures"/>
    <w:basedOn w:val="Normal"/>
    <w:next w:val="Normal"/>
    <w:uiPriority w:val="99"/>
    <w:rsid w:val="00333AC0"/>
  </w:style>
  <w:style w:type="character" w:styleId="Emphasis">
    <w:name w:val="Emphasis"/>
    <w:basedOn w:val="DefaultParagraphFont"/>
    <w:uiPriority w:val="20"/>
    <w:qFormat/>
    <w:rsid w:val="00333AC0"/>
    <w:rPr>
      <w:i/>
      <w:iCs/>
    </w:rPr>
  </w:style>
  <w:style w:type="paragraph" w:styleId="HTMLPreformatted">
    <w:name w:val="HTML Preformatted"/>
    <w:basedOn w:val="Normal"/>
    <w:link w:val="HTMLPreformattedChar"/>
    <w:uiPriority w:val="99"/>
    <w:unhideWhenUsed/>
    <w:rsid w:val="00333A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lang w:eastAsia="en-GB" w:bidi="ar-SA"/>
    </w:rPr>
  </w:style>
  <w:style w:type="character" w:customStyle="1" w:styleId="HTMLPreformattedChar">
    <w:name w:val="HTML Preformatted Char"/>
    <w:basedOn w:val="DefaultParagraphFont"/>
    <w:link w:val="HTMLPreformatted"/>
    <w:uiPriority w:val="99"/>
    <w:rsid w:val="00333AC0"/>
    <w:rPr>
      <w:rFonts w:ascii="Courier New" w:eastAsia="Times New Roman" w:hAnsi="Courier New" w:cs="Courier New"/>
      <w:sz w:val="24"/>
      <w:szCs w:val="24"/>
      <w:lang w:val="en-GB" w:eastAsia="en-GB"/>
    </w:rPr>
  </w:style>
  <w:style w:type="character" w:customStyle="1" w:styleId="feature">
    <w:name w:val="feature"/>
    <w:basedOn w:val="DefaultParagraphFont"/>
    <w:rsid w:val="00333AC0"/>
  </w:style>
  <w:style w:type="character" w:customStyle="1" w:styleId="st1">
    <w:name w:val="st1"/>
    <w:basedOn w:val="DefaultParagraphFont"/>
    <w:rsid w:val="00333AC0"/>
  </w:style>
  <w:style w:type="paragraph" w:customStyle="1" w:styleId="PARA">
    <w:name w:val="_PARA_"/>
    <w:basedOn w:val="Normal"/>
    <w:link w:val="PARAChar"/>
    <w:rsid w:val="00333AC0"/>
    <w:pPr>
      <w:widowControl/>
      <w:spacing w:after="360" w:line="280" w:lineRule="exact"/>
      <w:jc w:val="both"/>
    </w:pPr>
    <w:rPr>
      <w:rFonts w:ascii="Georgia" w:eastAsiaTheme="minorHAnsi" w:hAnsi="Georgia" w:cstheme="minorBidi"/>
      <w:szCs w:val="22"/>
      <w:lang w:val="en-CA" w:bidi="ar-SA"/>
    </w:rPr>
  </w:style>
  <w:style w:type="character" w:customStyle="1" w:styleId="PARAChar">
    <w:name w:val="_PARA_ Char"/>
    <w:basedOn w:val="DefaultParagraphFont"/>
    <w:link w:val="PARA"/>
    <w:rsid w:val="00333AC0"/>
    <w:rPr>
      <w:rFonts w:ascii="Georgia" w:hAnsi="Georgia" w:cstheme="minorBidi"/>
      <w:lang w:val="en-CA"/>
    </w:rPr>
  </w:style>
  <w:style w:type="character" w:styleId="PlaceholderText">
    <w:name w:val="Placeholder Text"/>
    <w:basedOn w:val="DefaultParagraphFont"/>
    <w:uiPriority w:val="99"/>
    <w:semiHidden/>
    <w:rsid w:val="00333AC0"/>
    <w:rPr>
      <w:color w:val="808080"/>
    </w:rPr>
  </w:style>
  <w:style w:type="character" w:styleId="HTMLCite">
    <w:name w:val="HTML Cite"/>
    <w:basedOn w:val="DefaultParagraphFont"/>
    <w:uiPriority w:val="99"/>
    <w:unhideWhenUsed/>
    <w:rsid w:val="00333AC0"/>
    <w:rPr>
      <w:i/>
      <w:iCs/>
    </w:rPr>
  </w:style>
  <w:style w:type="paragraph" w:styleId="Signature">
    <w:name w:val="Signature"/>
    <w:basedOn w:val="Normal"/>
    <w:link w:val="SignatureChar"/>
    <w:rsid w:val="00333AC0"/>
    <w:pPr>
      <w:widowControl/>
      <w:tabs>
        <w:tab w:val="left" w:pos="5130"/>
        <w:tab w:val="left" w:pos="5850"/>
        <w:tab w:val="left" w:pos="8640"/>
      </w:tabs>
      <w:spacing w:line="240" w:lineRule="atLeast"/>
      <w:ind w:left="1080"/>
    </w:pPr>
    <w:rPr>
      <w:szCs w:val="20"/>
      <w:lang w:val="en-US" w:bidi="ar-SA"/>
    </w:rPr>
  </w:style>
  <w:style w:type="character" w:customStyle="1" w:styleId="SignatureChar">
    <w:name w:val="Signature Char"/>
    <w:basedOn w:val="DefaultParagraphFont"/>
    <w:link w:val="Signature"/>
    <w:rsid w:val="00333AC0"/>
    <w:rPr>
      <w:rFonts w:eastAsia="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goldenrice.org/Content1-Who/who4_IP.php" TargetMode="External"/><Relationship Id="rId26" Type="http://schemas.openxmlformats.org/officeDocument/2006/relationships/image" Target="media/image5.png"/><Relationship Id="rId39" Type="http://schemas.openxmlformats.org/officeDocument/2006/relationships/hyperlink" Target="https://www.ncbi.nlm.nih.gov/" TargetMode="External"/><Relationship Id="rId21" Type="http://schemas.openxmlformats.org/officeDocument/2006/relationships/hyperlink" Target="http://www.worldbookonline.com/student/media?id=lr000932" TargetMode="External"/><Relationship Id="rId34" Type="http://schemas.openxmlformats.org/officeDocument/2006/relationships/image" Target="media/image11.png"/><Relationship Id="rId42" Type="http://schemas.openxmlformats.org/officeDocument/2006/relationships/hyperlink" Target="http://www.uniprot.org/" TargetMode="External"/><Relationship Id="rId47" Type="http://schemas.openxmlformats.org/officeDocument/2006/relationships/hyperlink" Target="http://cran.r-project.org/package=lme4" TargetMode="External"/><Relationship Id="rId50" Type="http://schemas.openxmlformats.org/officeDocument/2006/relationships/hyperlink" Target="http://www.foodstandards.gov.au/code/applications/pages/applicationa564foodd2972.aspx" TargetMode="External"/><Relationship Id="rId55" Type="http://schemas.openxmlformats.org/officeDocument/2006/relationships/hyperlink" Target="http://www.feedipedia.org/node/226"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matrixscience.com/" TargetMode="External"/><Relationship Id="rId45" Type="http://schemas.openxmlformats.org/officeDocument/2006/relationships/hyperlink" Target="https://www.ncbi.nlm.nih.gov/Class/MLACourse/Original8Hour/Entrez/" TargetMode="External"/><Relationship Id="rId53" Type="http://schemas.openxmlformats.org/officeDocument/2006/relationships/hyperlink" Target="http://www.foodstandards.gov.au/code/applications/pages/applicationa1060food5180.aspx" TargetMode="External"/><Relationship Id="rId58" Type="http://schemas.openxmlformats.org/officeDocument/2006/relationships/hyperlink" Target="http://www.ogtr.gov.au/internet/ogtr/publishing.nsf/Content/biology-documents-1" TargetMode="External"/><Relationship Id="rId5" Type="http://schemas.openxmlformats.org/officeDocument/2006/relationships/customXml" Target="../customXml/item5.xml"/><Relationship Id="rId61" Type="http://schemas.openxmlformats.org/officeDocument/2006/relationships/hyperlink" Target="http://www.ncbi.nlm.nih.gov/pubmed/20360368" TargetMode="External"/><Relationship Id="rId19" Type="http://schemas.openxmlformats.org/officeDocument/2006/relationships/hyperlink" Target="http://www.fao.org/worldfoodsituation/csdb/en/" TargetMode="External"/><Relationship Id="rId14" Type="http://schemas.openxmlformats.org/officeDocument/2006/relationships/image" Target="media/image1.png"/><Relationship Id="rId22" Type="http://schemas.openxmlformats.org/officeDocument/2006/relationships/hyperlink" Target="http://ricepedia.org/rice-as-food/other-rice-products" TargetMode="External"/><Relationship Id="rId27" Type="http://schemas.openxmlformats.org/officeDocument/2006/relationships/hyperlink" Target="http://rice.plantbiology.msu.edu/"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allergenonline.org/" TargetMode="External"/><Relationship Id="rId48" Type="http://schemas.openxmlformats.org/officeDocument/2006/relationships/hyperlink" Target="http://www.codexalimentarius.org/standards/thematic-publications/" TargetMode="External"/><Relationship Id="rId56" Type="http://schemas.openxmlformats.org/officeDocument/2006/relationships/hyperlink" Target="http://www.oecd.org/officialdocuments/displaydocumentpdf?cote=ENV/JM/MONO(2003)10&amp;doclanguage=en"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foodstandards.gov.au/code/applications/pages/applicationa1001food3769.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www.uniprot.org/" TargetMode="External"/><Relationship Id="rId46" Type="http://schemas.openxmlformats.org/officeDocument/2006/relationships/hyperlink" Target="http://www.allergy.org.au/patients/food-other-adverse-reactions/food-protein-induced-enterocolitis-syndrome-fpies" TargetMode="External"/><Relationship Id="rId59" Type="http://schemas.openxmlformats.org/officeDocument/2006/relationships/hyperlink" Target="http://www.ogtr.gov.au/internet/ogtr/publishing.nsf/Content/riskassessments-1" TargetMode="External"/><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hyperlink" Target="http://ricepedia.org/" TargetMode="External"/><Relationship Id="rId62" Type="http://schemas.openxmlformats.org/officeDocument/2006/relationships/hyperlink" Target="http://dx.doi.org/10.1016/j.jbiotec.2016.03.007" TargetMode="External"/><Relationship Id="rId1" Type="http://schemas.openxmlformats.org/officeDocument/2006/relationships/customXml" Target="../customXml/item1.xml"/><Relationship Id="rId15" Type="http://schemas.openxmlformats.org/officeDocument/2006/relationships/footer" Target="footer1.xml"/><Relationship Id="rId23" Type="http://schemas.openxmlformats.org/officeDocument/2006/relationships/hyperlink" Target="http://www.allergenonline.org/"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faostat3.fao.org/browse/T/TP/E" TargetMode="External"/><Relationship Id="rId57" Type="http://schemas.openxmlformats.org/officeDocument/2006/relationships/hyperlink" Target="http://www.oecd.org/chemicalsafety/biotrack/consensus-document-for-work-on-safety-novel-and-foods-feeds-plants.htm" TargetMode="External"/><Relationship Id="rId10" Type="http://schemas.openxmlformats.org/officeDocument/2006/relationships/settings" Target="settings.xml"/><Relationship Id="rId31" Type="http://schemas.openxmlformats.org/officeDocument/2006/relationships/hyperlink" Target="http://www.cbs.dtu.dk/services/ChloroP/" TargetMode="External"/><Relationship Id="rId44" Type="http://schemas.openxmlformats.org/officeDocument/2006/relationships/hyperlink" Target="http://www.imtech.res.in/raghava/glycoep/index.html" TargetMode="External"/><Relationship Id="rId52" Type="http://schemas.openxmlformats.org/officeDocument/2006/relationships/hyperlink" Target="http://www.foodstandards.gov.au/code/applications/pages/applicationa580foodd3243.aspx" TargetMode="External"/><Relationship Id="rId60" Type="http://schemas.openxmlformats.org/officeDocument/2006/relationships/hyperlink" Target="http://www.R-project.org/" TargetMode="External"/><Relationship Id="rId9"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 TargetMode="External"/><Relationship Id="rId3" Type="http://schemas.openxmlformats.org/officeDocument/2006/relationships/hyperlink" Target="http://ricepedia.org/rice-as-food/other-rice-products" TargetMode="External"/><Relationship Id="rId7" Type="http://schemas.openxmlformats.org/officeDocument/2006/relationships/hyperlink" Target="http://www.uniprot.org/" TargetMode="External"/><Relationship Id="rId12" Type="http://schemas.openxmlformats.org/officeDocument/2006/relationships/hyperlink" Target="https://www.ncbi.nlm.nih.gov/Class/MLACourse/Original8Hour/Entrez/" TargetMode="External"/><Relationship Id="rId2" Type="http://schemas.openxmlformats.org/officeDocument/2006/relationships/hyperlink" Target="http://www.fao.org/worldfoodsituation/csdb/en/" TargetMode="External"/><Relationship Id="rId1" Type="http://schemas.openxmlformats.org/officeDocument/2006/relationships/hyperlink" Target="http://www.goldenrice.org/Content1-Who/who4_IP.php" TargetMode="External"/><Relationship Id="rId6" Type="http://schemas.openxmlformats.org/officeDocument/2006/relationships/hyperlink" Target="http://www.cbs.dtu.dk/services/ChloroP/" TargetMode="External"/><Relationship Id="rId11" Type="http://schemas.openxmlformats.org/officeDocument/2006/relationships/hyperlink" Target="http://www.imtech.res.in/raghava/glycoep/index.html" TargetMode="External"/><Relationship Id="rId5" Type="http://schemas.openxmlformats.org/officeDocument/2006/relationships/hyperlink" Target="http://rice.plantbiology.msu.edu/" TargetMode="External"/><Relationship Id="rId10" Type="http://schemas.openxmlformats.org/officeDocument/2006/relationships/hyperlink" Target="http://www.allergenonline.org/" TargetMode="External"/><Relationship Id="rId4" Type="http://schemas.openxmlformats.org/officeDocument/2006/relationships/hyperlink" Target="http://www.allergenonline.org" TargetMode="External"/><Relationship Id="rId9" Type="http://schemas.openxmlformats.org/officeDocument/2006/relationships/hyperlink" Target="http://www.matrix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 xsi:nil="true"/>
    <TaxCatchAll xmlns="ec50576e-4a27-4780-a1e1-e59563bc70b8">
      <Value>40</Value>
    </TaxCatchAll>
    <a41428b017d04df981d58ffdf035d7b8 xmlns="ec50576e-4a27-4780-a1e1-e59563bc70b8">
      <Terms xmlns="http://schemas.microsoft.com/office/infopath/2007/PartnerControls"/>
    </a41428b017d04df981d58ffdf035d7b8>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FOOD STANDARDS:Evaluation</TermName>
          <TermId xmlns="http://schemas.microsoft.com/office/infopath/2007/PartnerControls">43bd8487-b9f6-4055-946c-a118d364275d</TermId>
        </TermInfo>
      </Terms>
    </bd06d2da0152468b9236b575a71e0e7c>
    <_dlc_DocId xmlns="ff5de93e-c5e8-4efc-a1bd-21450292fcfe">MMF7YEMDTSDN-221-49143</_dlc_DocId>
    <_dlc_DocIdUrl xmlns="ff5de93e-c5e8-4efc-a1bd-21450292fcfe">
      <Url>http://fsintranet/IWG/Board/_layouts/15/DocIdRedir.aspx?ID=MMF7YEMDTSDN-221-49143</Url>
      <Description>MMF7YEMDTSDN-221-49143</Description>
    </_dlc_DocIdUrl>
    <_dlc_DocIdPersistId xmlns="ff5de93e-c5e8-4efc-a1bd-21450292fcfe">true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3D024-EAB6-4F3B-8D7A-3CBAFB66DB52}"/>
</file>

<file path=customXml/itemProps2.xml><?xml version="1.0" encoding="utf-8"?>
<ds:datastoreItem xmlns:ds="http://schemas.openxmlformats.org/officeDocument/2006/customXml" ds:itemID="{C3119F7F-C21C-4ABE-82D8-26DBA7C7E0E8}"/>
</file>

<file path=customXml/itemProps3.xml><?xml version="1.0" encoding="utf-8"?>
<ds:datastoreItem xmlns:ds="http://schemas.openxmlformats.org/officeDocument/2006/customXml" ds:itemID="{396D58B4-38FE-42CE-A832-B9387446A91F}"/>
</file>

<file path=customXml/itemProps4.xml><?xml version="1.0" encoding="utf-8"?>
<ds:datastoreItem xmlns:ds="http://schemas.openxmlformats.org/officeDocument/2006/customXml" ds:itemID="{396D58B4-38FE-42CE-A832-B9387446A91F}">
  <ds:schemaRefs>
    <ds:schemaRef ds:uri="http://www.w3.org/XML/1998/namespace"/>
    <ds:schemaRef ds:uri="http://schemas.openxmlformats.org/package/2006/metadata/core-properties"/>
    <ds:schemaRef ds:uri="http://purl.org/dc/terms/"/>
    <ds:schemaRef ds:uri="http://purl.org/dc/dcmitype/"/>
    <ds:schemaRef ds:uri="http://schemas.microsoft.com/office/2006/documentManagement/types"/>
    <ds:schemaRef ds:uri="ec50576e-4a27-4780-a1e1-e59563bc70b8"/>
    <ds:schemaRef ds:uri="http://purl.org/dc/elements/1.1/"/>
    <ds:schemaRef ds:uri="http://schemas.microsoft.com/office/infopath/2007/PartnerControls"/>
    <ds:schemaRef ds:uri="ff5de93e-c5e8-4efc-a1bd-21450292fcfe"/>
    <ds:schemaRef ds:uri="http://schemas.microsoft.com/office/2006/metadata/properties"/>
  </ds:schemaRefs>
</ds:datastoreItem>
</file>

<file path=customXml/itemProps5.xml><?xml version="1.0" encoding="utf-8"?>
<ds:datastoreItem xmlns:ds="http://schemas.openxmlformats.org/officeDocument/2006/customXml" ds:itemID="{7FF72628-2D0B-4AE1-B935-F45293BAEAE9}"/>
</file>

<file path=customXml/itemProps6.xml><?xml version="1.0" encoding="utf-8"?>
<ds:datastoreItem xmlns:ds="http://schemas.openxmlformats.org/officeDocument/2006/customXml" ds:itemID="{7FF72628-2D0B-4AE1-B935-F45293BA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57</Pages>
  <Words>22318</Words>
  <Characters>127216</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149236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gorstj</dc:creator>
  <cp:lastModifiedBy>coughc</cp:lastModifiedBy>
  <cp:revision>12</cp:revision>
  <cp:lastPrinted>2017-12-18T22:44:00Z</cp:lastPrinted>
  <dcterms:created xsi:type="dcterms:W3CDTF">2017-09-27T01:33:00Z</dcterms:created>
  <dcterms:modified xsi:type="dcterms:W3CDTF">2017-12-18T22:45:00Z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_dlc_DocIdItemGuid">
    <vt:lpwstr>c7976bb2-72d5-4550-a1b6-12866917dba4</vt:lpwstr>
  </property>
  <property fmtid="{D5CDD505-2E9C-101B-9397-08002B2CF9AE}" pid="4" name="BCS_">
    <vt:lpwstr>40;#FOOD STANDARDS:Evaluation|43bd8487-b9f6-4055-946c-a118d364275d</vt:lpwstr>
  </property>
  <property fmtid="{D5CDD505-2E9C-101B-9397-08002B2CF9AE}" pid="5" name="DisposalClass">
    <vt:lpwstr/>
  </property>
  <property fmtid="{D5CDD505-2E9C-101B-9397-08002B2CF9AE}" pid="6" name="SPPCopyMoveEvent">
    <vt:lpwstr>1</vt:lpwstr>
  </property>
</Properties>
</file>